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6922" w14:textId="77777777" w:rsidR="00A1218D" w:rsidRDefault="00A1218D" w:rsidP="00941D5F">
      <w:pPr>
        <w:jc w:val="center"/>
        <w:rPr>
          <w:rFonts w:ascii="Times New Roman" w:hAnsi="Times New Roman" w:cs="Times New Roman"/>
          <w:b/>
          <w:bCs/>
          <w:sz w:val="32"/>
          <w:szCs w:val="32"/>
        </w:rPr>
      </w:pPr>
    </w:p>
    <w:p w14:paraId="23C6D99D" w14:textId="77777777" w:rsidR="00A1218D" w:rsidRDefault="00A1218D" w:rsidP="00941D5F">
      <w:pPr>
        <w:jc w:val="center"/>
        <w:rPr>
          <w:rFonts w:ascii="Times New Roman" w:hAnsi="Times New Roman" w:cs="Times New Roman"/>
          <w:b/>
          <w:bCs/>
          <w:sz w:val="32"/>
          <w:szCs w:val="32"/>
        </w:rPr>
      </w:pPr>
    </w:p>
    <w:p w14:paraId="05443545" w14:textId="233E3012" w:rsidR="009378AE" w:rsidRDefault="009378AE" w:rsidP="00941D5F">
      <w:pPr>
        <w:jc w:val="center"/>
        <w:rPr>
          <w:rFonts w:ascii="Times New Roman" w:hAnsi="Times New Roman" w:cs="Times New Roman"/>
          <w:b/>
          <w:bCs/>
          <w:sz w:val="32"/>
          <w:szCs w:val="32"/>
        </w:rPr>
      </w:pPr>
      <w:r>
        <w:rPr>
          <w:rFonts w:ascii="Times New Roman" w:hAnsi="Times New Roman" w:cs="Times New Roman"/>
          <w:b/>
          <w:bCs/>
          <w:sz w:val="32"/>
          <w:szCs w:val="32"/>
        </w:rPr>
        <w:t xml:space="preserve">ÇAĞ ÜNİVERSİTESİ </w:t>
      </w:r>
    </w:p>
    <w:p w14:paraId="66078FCE" w14:textId="2D24E603" w:rsidR="009378AE" w:rsidRDefault="009378AE" w:rsidP="00941D5F">
      <w:pPr>
        <w:jc w:val="center"/>
        <w:rPr>
          <w:rFonts w:ascii="Times New Roman" w:hAnsi="Times New Roman" w:cs="Times New Roman"/>
          <w:b/>
          <w:bCs/>
          <w:sz w:val="32"/>
          <w:szCs w:val="32"/>
        </w:rPr>
      </w:pPr>
      <w:r>
        <w:rPr>
          <w:rFonts w:ascii="Times New Roman" w:hAnsi="Times New Roman" w:cs="Times New Roman"/>
          <w:b/>
          <w:bCs/>
          <w:sz w:val="32"/>
          <w:szCs w:val="32"/>
        </w:rPr>
        <w:t>202</w:t>
      </w:r>
      <w:r w:rsidR="00237C04">
        <w:rPr>
          <w:rFonts w:ascii="Times New Roman" w:hAnsi="Times New Roman" w:cs="Times New Roman"/>
          <w:b/>
          <w:bCs/>
          <w:sz w:val="32"/>
          <w:szCs w:val="32"/>
        </w:rPr>
        <w:t>4</w:t>
      </w:r>
      <w:r>
        <w:rPr>
          <w:rFonts w:ascii="Times New Roman" w:hAnsi="Times New Roman" w:cs="Times New Roman"/>
          <w:b/>
          <w:bCs/>
          <w:sz w:val="32"/>
          <w:szCs w:val="32"/>
        </w:rPr>
        <w:t>-202</w:t>
      </w:r>
      <w:r w:rsidR="00237C04">
        <w:rPr>
          <w:rFonts w:ascii="Times New Roman" w:hAnsi="Times New Roman" w:cs="Times New Roman"/>
          <w:b/>
          <w:bCs/>
          <w:sz w:val="32"/>
          <w:szCs w:val="32"/>
        </w:rPr>
        <w:t>5</w:t>
      </w:r>
      <w:r>
        <w:rPr>
          <w:rFonts w:ascii="Times New Roman" w:hAnsi="Times New Roman" w:cs="Times New Roman"/>
          <w:b/>
          <w:bCs/>
          <w:sz w:val="32"/>
          <w:szCs w:val="32"/>
        </w:rPr>
        <w:t xml:space="preserve">  AKADEMİK YILI</w:t>
      </w:r>
    </w:p>
    <w:p w14:paraId="486DBDBA" w14:textId="5E93A7AC" w:rsidR="00F53C34" w:rsidRDefault="00941D5F" w:rsidP="00AC35A9">
      <w:pPr>
        <w:jc w:val="center"/>
        <w:rPr>
          <w:rFonts w:ascii="Times New Roman" w:hAnsi="Times New Roman" w:cs="Times New Roman"/>
          <w:b/>
          <w:bCs/>
          <w:sz w:val="32"/>
          <w:szCs w:val="32"/>
        </w:rPr>
      </w:pPr>
      <w:r w:rsidRPr="00941D5F">
        <w:rPr>
          <w:rFonts w:ascii="Times New Roman" w:hAnsi="Times New Roman" w:cs="Times New Roman"/>
          <w:b/>
          <w:bCs/>
          <w:sz w:val="32"/>
          <w:szCs w:val="32"/>
        </w:rPr>
        <w:t xml:space="preserve">ENGELLİ ÖĞRENCİ </w:t>
      </w:r>
      <w:r w:rsidR="009378AE">
        <w:rPr>
          <w:rFonts w:ascii="Times New Roman" w:hAnsi="Times New Roman" w:cs="Times New Roman"/>
          <w:b/>
          <w:bCs/>
          <w:sz w:val="32"/>
          <w:szCs w:val="32"/>
        </w:rPr>
        <w:t xml:space="preserve">BİRİM </w:t>
      </w:r>
      <w:r w:rsidRPr="00941D5F">
        <w:rPr>
          <w:rFonts w:ascii="Times New Roman" w:hAnsi="Times New Roman" w:cs="Times New Roman"/>
          <w:b/>
          <w:bCs/>
          <w:sz w:val="32"/>
          <w:szCs w:val="32"/>
        </w:rPr>
        <w:t>RAPORU</w:t>
      </w:r>
    </w:p>
    <w:p w14:paraId="10CCE452" w14:textId="77777777" w:rsidR="00AC35A9" w:rsidRDefault="00AC35A9" w:rsidP="00AC35A9">
      <w:pPr>
        <w:jc w:val="center"/>
        <w:rPr>
          <w:rFonts w:ascii="Times New Roman" w:hAnsi="Times New Roman" w:cs="Times New Roman"/>
          <w:b/>
          <w:bCs/>
          <w:sz w:val="32"/>
          <w:szCs w:val="32"/>
        </w:rPr>
      </w:pPr>
    </w:p>
    <w:p w14:paraId="51A176D5"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69B98672">
          <v:rect id="_x0000_i1025" style="width:0;height:1.5pt" o:hralign="center" o:hrstd="t" o:hr="t" fillcolor="#a0a0a0" stroked="f"/>
        </w:pict>
      </w:r>
    </w:p>
    <w:p w14:paraId="3A58BD72"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1. Giriş</w:t>
      </w:r>
    </w:p>
    <w:p w14:paraId="79687FC0" w14:textId="58DF67B4"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 xml:space="preserve">Üniversitemizin Stratejik Planlarında yer alan temel kurumsal politikalardan biri </w:t>
      </w:r>
      <w:r>
        <w:rPr>
          <w:rFonts w:ascii="Times New Roman" w:hAnsi="Times New Roman" w:cs="Times New Roman"/>
          <w:sz w:val="24"/>
          <w:szCs w:val="24"/>
        </w:rPr>
        <w:t>“</w:t>
      </w:r>
      <w:r w:rsidRPr="00AC35A9">
        <w:rPr>
          <w:rFonts w:ascii="Times New Roman" w:hAnsi="Times New Roman" w:cs="Times New Roman"/>
          <w:sz w:val="24"/>
          <w:szCs w:val="24"/>
        </w:rPr>
        <w:t>Engelsiz Üniversite Politikası</w:t>
      </w:r>
      <w:r>
        <w:rPr>
          <w:rFonts w:ascii="Times New Roman" w:hAnsi="Times New Roman" w:cs="Times New Roman"/>
          <w:sz w:val="24"/>
          <w:szCs w:val="24"/>
        </w:rPr>
        <w:t xml:space="preserve">” </w:t>
      </w:r>
      <w:r w:rsidRPr="00AC35A9">
        <w:rPr>
          <w:rFonts w:ascii="Times New Roman" w:hAnsi="Times New Roman" w:cs="Times New Roman"/>
          <w:sz w:val="24"/>
          <w:szCs w:val="24"/>
        </w:rPr>
        <w:t>dır. Bu doğrultuda Çağ Üniversitesi olarak her öğrencimizin eğitim ve yaşam alanlarını iyileştirmek, eşit fırsatlar sunmak ve erişilebilir bir öğrenim ortamı sağlamak temel hedefimizdir.</w:t>
      </w:r>
    </w:p>
    <w:p w14:paraId="38F9D193"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Engelli öğrencilerimizin akademik, idari, fiziksel, psikolojik ve sosyal alanlardaki ihtiyaçları düzenli olarak belirlenmekte; öğrenim süreçlerini kolaylaştırmak amacıyla sürdürülebilir çözümler üretilmektedir. Üniversitemizde tüm öğrencilerin eşit hak ve imkânlara sahip olması temel prensip olarak benimsenmiştir.</w:t>
      </w:r>
    </w:p>
    <w:p w14:paraId="62E9D2BC"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Yükseköğretim Kurulu (YÖK) Engelli Öğrenci Komisyonu tarafından yürütülen “Engelsiz Üniversite Bayrak Ödülleri” ve “Engelsiz Program Nişanı” uygulamaları kapsamında, üniversitemizin erişilebilirlik ve kapsayıcılık alanındaki çalışmaları her yıl değerlendirilmektedir.</w:t>
      </w:r>
    </w:p>
    <w:p w14:paraId="3F466A70"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0D67B921">
          <v:rect id="_x0000_i1026" style="width:0;height:1.5pt" o:hralign="center" o:hrstd="t" o:hr="t" fillcolor="#a0a0a0" stroked="f"/>
        </w:pict>
      </w:r>
    </w:p>
    <w:p w14:paraId="0B6E12FF"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2. Engelsiz Üniversite Başarıları</w:t>
      </w:r>
    </w:p>
    <w:p w14:paraId="18DB7EFB" w14:textId="0D9A46DA"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2023–2024 eğitim-öğretim yılında YÖK Engelli Öğrenci Komisyonu tarafından düzenlenen “Engelsiz Üniversite Bayrak Ödülleri”</w:t>
      </w:r>
      <w:r>
        <w:rPr>
          <w:rFonts w:ascii="Times New Roman" w:hAnsi="Times New Roman" w:cs="Times New Roman"/>
          <w:sz w:val="24"/>
          <w:szCs w:val="24"/>
        </w:rPr>
        <w:t xml:space="preserve"> </w:t>
      </w:r>
      <w:r w:rsidRPr="00AC35A9">
        <w:rPr>
          <w:rFonts w:ascii="Times New Roman" w:hAnsi="Times New Roman" w:cs="Times New Roman"/>
          <w:sz w:val="24"/>
          <w:szCs w:val="24"/>
        </w:rPr>
        <w:t>ne 112 üniversiteden 1079 başvuru yapılmıştır. Bu değerlendirmede Çağ Üniversitesi Yaşar Bayboğan Kampüsü, iki kategoride ödül almaya hak kazanmıştır:</w:t>
      </w:r>
    </w:p>
    <w:p w14:paraId="37A31B75" w14:textId="77777777" w:rsidR="00AC35A9" w:rsidRPr="00AC35A9" w:rsidRDefault="00AC35A9" w:rsidP="00AC35A9">
      <w:pPr>
        <w:numPr>
          <w:ilvl w:val="0"/>
          <w:numId w:val="11"/>
        </w:numPr>
        <w:jc w:val="both"/>
        <w:rPr>
          <w:rFonts w:ascii="Times New Roman" w:hAnsi="Times New Roman" w:cs="Times New Roman"/>
          <w:sz w:val="24"/>
          <w:szCs w:val="24"/>
        </w:rPr>
      </w:pPr>
      <w:r w:rsidRPr="00AC35A9">
        <w:rPr>
          <w:rFonts w:ascii="Times New Roman" w:hAnsi="Times New Roman" w:cs="Times New Roman"/>
          <w:sz w:val="24"/>
          <w:szCs w:val="24"/>
        </w:rPr>
        <w:t>Mekânda Erişilebilirlik (Turuncu Bayrak)</w:t>
      </w:r>
    </w:p>
    <w:p w14:paraId="07611ACB" w14:textId="77777777" w:rsidR="00AC35A9" w:rsidRPr="00AC35A9" w:rsidRDefault="00AC35A9" w:rsidP="00AC35A9">
      <w:pPr>
        <w:numPr>
          <w:ilvl w:val="0"/>
          <w:numId w:val="11"/>
        </w:numPr>
        <w:jc w:val="both"/>
        <w:rPr>
          <w:rFonts w:ascii="Times New Roman" w:hAnsi="Times New Roman" w:cs="Times New Roman"/>
          <w:sz w:val="24"/>
          <w:szCs w:val="24"/>
        </w:rPr>
      </w:pPr>
      <w:r w:rsidRPr="00AC35A9">
        <w:rPr>
          <w:rFonts w:ascii="Times New Roman" w:hAnsi="Times New Roman" w:cs="Times New Roman"/>
          <w:sz w:val="24"/>
          <w:szCs w:val="24"/>
        </w:rPr>
        <w:t>Sosyokültürel Faaliyetlerde Erişilebilirlik (Mavi Bayrak)</w:t>
      </w:r>
    </w:p>
    <w:p w14:paraId="334D9592"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2024–2025 akademik yılında kampüs bazında alınan bu ödüllerin, fakülte bazında da alınabilmesi için gerekli dosyalar hazırlanmıştır. Ayrıca, engelli öğrencilere yönelik kolaylaştırıcı uygulamalarıyla öne çıkan programlar için “Engelsiz Program Nişanı” başvuru dosyaları hazırlanmış olup sonuçların açıklanması beklenmektedir.</w:t>
      </w:r>
    </w:p>
    <w:p w14:paraId="426FC1E1"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5F35E82D">
          <v:rect id="_x0000_i1027" style="width:0;height:1.5pt" o:hralign="center" o:hrstd="t" o:hr="t" fillcolor="#a0a0a0" stroked="f"/>
        </w:pict>
      </w:r>
    </w:p>
    <w:p w14:paraId="028789A1" w14:textId="77777777" w:rsidR="00AC35A9" w:rsidRDefault="00AC35A9" w:rsidP="00AC35A9">
      <w:pPr>
        <w:jc w:val="both"/>
        <w:rPr>
          <w:rFonts w:ascii="Times New Roman" w:hAnsi="Times New Roman" w:cs="Times New Roman"/>
          <w:b/>
          <w:bCs/>
          <w:sz w:val="24"/>
          <w:szCs w:val="24"/>
        </w:rPr>
      </w:pPr>
    </w:p>
    <w:p w14:paraId="546DA549" w14:textId="729CC03B"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lastRenderedPageBreak/>
        <w:t>3. Engelli Öğrenci Sayıları</w:t>
      </w:r>
    </w:p>
    <w:p w14:paraId="0D6AC57A" w14:textId="77777777" w:rsid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Üniversitemizdeki engelli öğrenci sayılarının yıllara göre dağılımı aşağıda verilmiştir:</w:t>
      </w:r>
    </w:p>
    <w:tbl>
      <w:tblPr>
        <w:tblStyle w:val="KlavuzuTablo4-Vurgu5"/>
        <w:tblW w:w="0" w:type="auto"/>
        <w:tblLook w:val="04A0" w:firstRow="1" w:lastRow="0" w:firstColumn="1" w:lastColumn="0" w:noHBand="0" w:noVBand="1"/>
      </w:tblPr>
      <w:tblGrid>
        <w:gridCol w:w="2263"/>
        <w:gridCol w:w="1359"/>
        <w:gridCol w:w="1360"/>
        <w:gridCol w:w="1360"/>
        <w:gridCol w:w="1360"/>
        <w:gridCol w:w="1360"/>
      </w:tblGrid>
      <w:tr w:rsidR="00AC35A9" w14:paraId="40B0DABF" w14:textId="77777777" w:rsidTr="009D3D97">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263" w:type="dxa"/>
            <w:vAlign w:val="bottom"/>
          </w:tcPr>
          <w:p w14:paraId="5CA197C5" w14:textId="77777777" w:rsidR="00AC35A9" w:rsidRPr="0033291F" w:rsidRDefault="00AC35A9" w:rsidP="009D3D97">
            <w:pPr>
              <w:spacing w:line="360" w:lineRule="auto"/>
              <w:rPr>
                <w:rFonts w:ascii="Times New Roman" w:hAnsi="Times New Roman" w:cs="Times New Roman"/>
                <w:color w:val="auto"/>
                <w:sz w:val="24"/>
                <w:szCs w:val="24"/>
              </w:rPr>
            </w:pPr>
            <w:r w:rsidRPr="0033291F">
              <w:rPr>
                <w:rFonts w:ascii="Times New Roman" w:hAnsi="Times New Roman" w:cs="Times New Roman"/>
                <w:color w:val="000000"/>
                <w:sz w:val="24"/>
                <w:szCs w:val="24"/>
              </w:rPr>
              <w:t>Öğrenim Düzeyi</w:t>
            </w:r>
          </w:p>
        </w:tc>
        <w:tc>
          <w:tcPr>
            <w:tcW w:w="1359" w:type="dxa"/>
            <w:vAlign w:val="center"/>
          </w:tcPr>
          <w:p w14:paraId="3E484379" w14:textId="77777777" w:rsidR="00AC35A9" w:rsidRPr="0033291F" w:rsidRDefault="00AC35A9" w:rsidP="009D3D9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3291F">
              <w:rPr>
                <w:rFonts w:ascii="Times New Roman" w:hAnsi="Times New Roman" w:cs="Times New Roman"/>
                <w:color w:val="000000"/>
                <w:sz w:val="24"/>
                <w:szCs w:val="24"/>
              </w:rPr>
              <w:t>2020-2021</w:t>
            </w:r>
          </w:p>
        </w:tc>
        <w:tc>
          <w:tcPr>
            <w:tcW w:w="1360" w:type="dxa"/>
            <w:vAlign w:val="center"/>
          </w:tcPr>
          <w:p w14:paraId="755149CD" w14:textId="77777777" w:rsidR="00AC35A9" w:rsidRPr="0033291F" w:rsidRDefault="00AC35A9" w:rsidP="009D3D9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3291F">
              <w:rPr>
                <w:rFonts w:ascii="Times New Roman" w:hAnsi="Times New Roman" w:cs="Times New Roman"/>
                <w:color w:val="000000"/>
                <w:sz w:val="24"/>
                <w:szCs w:val="24"/>
              </w:rPr>
              <w:t>2021-2022</w:t>
            </w:r>
          </w:p>
        </w:tc>
        <w:tc>
          <w:tcPr>
            <w:tcW w:w="1360" w:type="dxa"/>
            <w:vAlign w:val="center"/>
          </w:tcPr>
          <w:p w14:paraId="4A893D4D" w14:textId="77777777" w:rsidR="00AC35A9" w:rsidRPr="0033291F" w:rsidRDefault="00AC35A9" w:rsidP="009D3D9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3291F">
              <w:rPr>
                <w:rFonts w:ascii="Times New Roman" w:hAnsi="Times New Roman" w:cs="Times New Roman"/>
                <w:color w:val="000000"/>
                <w:sz w:val="24"/>
                <w:szCs w:val="24"/>
              </w:rPr>
              <w:t>2022-2023</w:t>
            </w:r>
          </w:p>
        </w:tc>
        <w:tc>
          <w:tcPr>
            <w:tcW w:w="1360" w:type="dxa"/>
            <w:vAlign w:val="center"/>
          </w:tcPr>
          <w:p w14:paraId="0E018852" w14:textId="77777777" w:rsidR="00AC35A9" w:rsidRPr="0033291F" w:rsidRDefault="00AC35A9" w:rsidP="009D3D9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3291F">
              <w:rPr>
                <w:rFonts w:ascii="Times New Roman" w:hAnsi="Times New Roman" w:cs="Times New Roman"/>
                <w:color w:val="000000"/>
                <w:sz w:val="24"/>
                <w:szCs w:val="24"/>
              </w:rPr>
              <w:t>2023-2024</w:t>
            </w:r>
          </w:p>
        </w:tc>
        <w:tc>
          <w:tcPr>
            <w:tcW w:w="1360" w:type="dxa"/>
            <w:vAlign w:val="center"/>
          </w:tcPr>
          <w:p w14:paraId="6BD760FE" w14:textId="77777777" w:rsidR="00AC35A9" w:rsidRPr="0033291F" w:rsidRDefault="00AC35A9" w:rsidP="009D3D9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3291F">
              <w:rPr>
                <w:rFonts w:ascii="Times New Roman" w:hAnsi="Times New Roman" w:cs="Times New Roman"/>
                <w:color w:val="000000"/>
                <w:sz w:val="24"/>
                <w:szCs w:val="24"/>
              </w:rPr>
              <w:t>202</w:t>
            </w:r>
            <w:r>
              <w:rPr>
                <w:rFonts w:ascii="Times New Roman" w:hAnsi="Times New Roman" w:cs="Times New Roman"/>
                <w:color w:val="000000"/>
                <w:sz w:val="24"/>
                <w:szCs w:val="24"/>
              </w:rPr>
              <w:t>4</w:t>
            </w:r>
            <w:r w:rsidRPr="0033291F">
              <w:rPr>
                <w:rFonts w:ascii="Times New Roman" w:hAnsi="Times New Roman" w:cs="Times New Roman"/>
                <w:color w:val="000000"/>
                <w:sz w:val="24"/>
                <w:szCs w:val="24"/>
              </w:rPr>
              <w:t>-202</w:t>
            </w:r>
            <w:r>
              <w:rPr>
                <w:rFonts w:ascii="Times New Roman" w:hAnsi="Times New Roman" w:cs="Times New Roman"/>
                <w:color w:val="000000"/>
                <w:sz w:val="24"/>
                <w:szCs w:val="24"/>
              </w:rPr>
              <w:t>5</w:t>
            </w:r>
          </w:p>
        </w:tc>
      </w:tr>
      <w:tr w:rsidR="00AC35A9" w14:paraId="59893DA6" w14:textId="77777777" w:rsidTr="009D3D9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263" w:type="dxa"/>
            <w:vAlign w:val="bottom"/>
          </w:tcPr>
          <w:p w14:paraId="5BC4AF92" w14:textId="77777777" w:rsidR="00AC35A9" w:rsidRPr="0033291F" w:rsidRDefault="00AC35A9" w:rsidP="009D3D97">
            <w:pPr>
              <w:spacing w:line="360" w:lineRule="auto"/>
              <w:rPr>
                <w:rFonts w:ascii="Times New Roman" w:hAnsi="Times New Roman" w:cs="Times New Roman"/>
                <w:sz w:val="24"/>
                <w:szCs w:val="24"/>
              </w:rPr>
            </w:pPr>
            <w:r w:rsidRPr="0033291F">
              <w:rPr>
                <w:rFonts w:ascii="Times New Roman" w:hAnsi="Times New Roman" w:cs="Times New Roman"/>
                <w:b w:val="0"/>
                <w:bCs w:val="0"/>
                <w:color w:val="000000"/>
                <w:sz w:val="24"/>
                <w:szCs w:val="24"/>
              </w:rPr>
              <w:t>Lisansüstü</w:t>
            </w:r>
          </w:p>
        </w:tc>
        <w:tc>
          <w:tcPr>
            <w:tcW w:w="1359" w:type="dxa"/>
            <w:vAlign w:val="center"/>
          </w:tcPr>
          <w:p w14:paraId="23905A3E"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2</w:t>
            </w:r>
          </w:p>
        </w:tc>
        <w:tc>
          <w:tcPr>
            <w:tcW w:w="1360" w:type="dxa"/>
            <w:vAlign w:val="center"/>
          </w:tcPr>
          <w:p w14:paraId="73E2CD12"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0</w:t>
            </w:r>
          </w:p>
        </w:tc>
        <w:tc>
          <w:tcPr>
            <w:tcW w:w="1360" w:type="dxa"/>
            <w:vAlign w:val="center"/>
          </w:tcPr>
          <w:p w14:paraId="5EE20F7E"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2</w:t>
            </w:r>
          </w:p>
        </w:tc>
        <w:tc>
          <w:tcPr>
            <w:tcW w:w="1360" w:type="dxa"/>
            <w:vAlign w:val="center"/>
          </w:tcPr>
          <w:p w14:paraId="21793A9A"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themeColor="dark1"/>
                <w:sz w:val="24"/>
                <w:szCs w:val="24"/>
              </w:rPr>
              <w:t>3</w:t>
            </w:r>
          </w:p>
        </w:tc>
        <w:tc>
          <w:tcPr>
            <w:tcW w:w="1360" w:type="dxa"/>
            <w:vAlign w:val="center"/>
          </w:tcPr>
          <w:p w14:paraId="42C9FA04"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bCs/>
                <w:sz w:val="24"/>
                <w:szCs w:val="24"/>
              </w:rPr>
              <w:t>2</w:t>
            </w:r>
          </w:p>
        </w:tc>
      </w:tr>
      <w:tr w:rsidR="00AC35A9" w14:paraId="09183291" w14:textId="77777777" w:rsidTr="009D3D97">
        <w:trPr>
          <w:trHeight w:val="483"/>
        </w:trPr>
        <w:tc>
          <w:tcPr>
            <w:cnfStyle w:val="001000000000" w:firstRow="0" w:lastRow="0" w:firstColumn="1" w:lastColumn="0" w:oddVBand="0" w:evenVBand="0" w:oddHBand="0" w:evenHBand="0" w:firstRowFirstColumn="0" w:firstRowLastColumn="0" w:lastRowFirstColumn="0" w:lastRowLastColumn="0"/>
            <w:tcW w:w="2263" w:type="dxa"/>
            <w:vAlign w:val="bottom"/>
          </w:tcPr>
          <w:p w14:paraId="010EED1D" w14:textId="77777777" w:rsidR="00AC35A9" w:rsidRPr="0033291F" w:rsidRDefault="00AC35A9" w:rsidP="009D3D97">
            <w:pPr>
              <w:spacing w:line="360" w:lineRule="auto"/>
              <w:rPr>
                <w:rFonts w:ascii="Times New Roman" w:hAnsi="Times New Roman" w:cs="Times New Roman"/>
                <w:sz w:val="24"/>
                <w:szCs w:val="24"/>
              </w:rPr>
            </w:pPr>
            <w:r w:rsidRPr="0033291F">
              <w:rPr>
                <w:rFonts w:ascii="Times New Roman" w:hAnsi="Times New Roman" w:cs="Times New Roman"/>
                <w:b w:val="0"/>
                <w:bCs w:val="0"/>
                <w:color w:val="000000"/>
                <w:sz w:val="24"/>
                <w:szCs w:val="24"/>
              </w:rPr>
              <w:t>Lisans</w:t>
            </w:r>
          </w:p>
        </w:tc>
        <w:tc>
          <w:tcPr>
            <w:tcW w:w="1359" w:type="dxa"/>
            <w:vAlign w:val="center"/>
          </w:tcPr>
          <w:p w14:paraId="34AB22EA"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4</w:t>
            </w:r>
          </w:p>
        </w:tc>
        <w:tc>
          <w:tcPr>
            <w:tcW w:w="1360" w:type="dxa"/>
            <w:vAlign w:val="center"/>
          </w:tcPr>
          <w:p w14:paraId="24673963"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5</w:t>
            </w:r>
          </w:p>
        </w:tc>
        <w:tc>
          <w:tcPr>
            <w:tcW w:w="1360" w:type="dxa"/>
            <w:vAlign w:val="center"/>
          </w:tcPr>
          <w:p w14:paraId="271149CB"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hAnsi="Times New Roman" w:cs="Times New Roman"/>
                <w:b/>
                <w:bCs/>
                <w:color w:val="000000"/>
                <w:sz w:val="24"/>
                <w:szCs w:val="24"/>
              </w:rPr>
              <w:t>5</w:t>
            </w:r>
          </w:p>
        </w:tc>
        <w:tc>
          <w:tcPr>
            <w:tcW w:w="1360" w:type="dxa"/>
            <w:vAlign w:val="center"/>
          </w:tcPr>
          <w:p w14:paraId="5D48C321"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themeColor="dark1"/>
                <w:sz w:val="24"/>
                <w:szCs w:val="24"/>
              </w:rPr>
              <w:t>8</w:t>
            </w:r>
          </w:p>
        </w:tc>
        <w:tc>
          <w:tcPr>
            <w:tcW w:w="1360" w:type="dxa"/>
            <w:vAlign w:val="center"/>
          </w:tcPr>
          <w:p w14:paraId="4B72AB08"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bCs/>
                <w:sz w:val="24"/>
                <w:szCs w:val="24"/>
              </w:rPr>
              <w:t>9</w:t>
            </w:r>
          </w:p>
        </w:tc>
      </w:tr>
      <w:tr w:rsidR="00AC35A9" w14:paraId="2CBA5403" w14:textId="77777777" w:rsidTr="009D3D97">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2263" w:type="dxa"/>
            <w:vAlign w:val="bottom"/>
          </w:tcPr>
          <w:p w14:paraId="0058A44B" w14:textId="77777777" w:rsidR="00AC35A9" w:rsidRPr="0033291F" w:rsidRDefault="00AC35A9" w:rsidP="009D3D97">
            <w:pPr>
              <w:spacing w:line="360" w:lineRule="auto"/>
              <w:rPr>
                <w:rFonts w:ascii="Times New Roman" w:hAnsi="Times New Roman" w:cs="Times New Roman"/>
                <w:sz w:val="24"/>
                <w:szCs w:val="24"/>
              </w:rPr>
            </w:pPr>
            <w:r w:rsidRPr="0033291F">
              <w:rPr>
                <w:rFonts w:ascii="Times New Roman" w:hAnsi="Times New Roman" w:cs="Times New Roman"/>
                <w:b w:val="0"/>
                <w:bCs w:val="0"/>
                <w:color w:val="000000"/>
                <w:sz w:val="24"/>
                <w:szCs w:val="24"/>
              </w:rPr>
              <w:t>Ön Lisans</w:t>
            </w:r>
          </w:p>
        </w:tc>
        <w:tc>
          <w:tcPr>
            <w:tcW w:w="1359" w:type="dxa"/>
            <w:vAlign w:val="center"/>
          </w:tcPr>
          <w:p w14:paraId="63A38CE3"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13</w:t>
            </w:r>
          </w:p>
        </w:tc>
        <w:tc>
          <w:tcPr>
            <w:tcW w:w="1360" w:type="dxa"/>
            <w:vAlign w:val="center"/>
          </w:tcPr>
          <w:p w14:paraId="1460D0C9"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hAnsi="Times New Roman" w:cs="Times New Roman"/>
                <w:b/>
                <w:bCs/>
                <w:color w:val="000000"/>
                <w:sz w:val="24"/>
                <w:szCs w:val="24"/>
              </w:rPr>
              <w:t>11</w:t>
            </w:r>
          </w:p>
        </w:tc>
        <w:tc>
          <w:tcPr>
            <w:tcW w:w="1360" w:type="dxa"/>
            <w:vAlign w:val="center"/>
          </w:tcPr>
          <w:p w14:paraId="61367B98"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sz w:val="24"/>
                <w:szCs w:val="24"/>
              </w:rPr>
              <w:t>9</w:t>
            </w:r>
          </w:p>
        </w:tc>
        <w:tc>
          <w:tcPr>
            <w:tcW w:w="1360" w:type="dxa"/>
            <w:vAlign w:val="center"/>
          </w:tcPr>
          <w:p w14:paraId="0230687D"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themeColor="dark1"/>
                <w:sz w:val="24"/>
                <w:szCs w:val="24"/>
              </w:rPr>
              <w:t>8</w:t>
            </w:r>
          </w:p>
        </w:tc>
        <w:tc>
          <w:tcPr>
            <w:tcW w:w="1360" w:type="dxa"/>
            <w:vAlign w:val="center"/>
          </w:tcPr>
          <w:p w14:paraId="162536F7" w14:textId="77777777" w:rsidR="00AC35A9" w:rsidRPr="0033291F" w:rsidRDefault="00AC35A9" w:rsidP="009D3D9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bCs/>
                <w:sz w:val="24"/>
                <w:szCs w:val="24"/>
              </w:rPr>
              <w:t>6</w:t>
            </w:r>
          </w:p>
        </w:tc>
      </w:tr>
      <w:tr w:rsidR="00AC35A9" w14:paraId="7A7054B9" w14:textId="77777777" w:rsidTr="009D3D97">
        <w:trPr>
          <w:trHeight w:val="483"/>
        </w:trPr>
        <w:tc>
          <w:tcPr>
            <w:cnfStyle w:val="001000000000" w:firstRow="0" w:lastRow="0" w:firstColumn="1" w:lastColumn="0" w:oddVBand="0" w:evenVBand="0" w:oddHBand="0" w:evenHBand="0" w:firstRowFirstColumn="0" w:firstRowLastColumn="0" w:lastRowFirstColumn="0" w:lastRowLastColumn="0"/>
            <w:tcW w:w="2263" w:type="dxa"/>
            <w:vAlign w:val="bottom"/>
          </w:tcPr>
          <w:p w14:paraId="0335BD01" w14:textId="77777777" w:rsidR="00AC35A9" w:rsidRPr="0033291F" w:rsidRDefault="00AC35A9" w:rsidP="009D3D97">
            <w:pPr>
              <w:spacing w:line="360" w:lineRule="auto"/>
              <w:rPr>
                <w:rFonts w:ascii="Times New Roman" w:hAnsi="Times New Roman" w:cs="Times New Roman"/>
                <w:sz w:val="24"/>
                <w:szCs w:val="24"/>
              </w:rPr>
            </w:pPr>
            <w:r w:rsidRPr="0033291F">
              <w:rPr>
                <w:rFonts w:ascii="Times New Roman" w:hAnsi="Times New Roman" w:cs="Times New Roman"/>
                <w:b w:val="0"/>
                <w:bCs w:val="0"/>
                <w:color w:val="000000"/>
                <w:sz w:val="24"/>
                <w:szCs w:val="24"/>
              </w:rPr>
              <w:t>TOPLAM</w:t>
            </w:r>
          </w:p>
        </w:tc>
        <w:tc>
          <w:tcPr>
            <w:tcW w:w="1359" w:type="dxa"/>
            <w:vAlign w:val="center"/>
          </w:tcPr>
          <w:p w14:paraId="3FA06E89"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hAnsi="Times New Roman" w:cs="Times New Roman"/>
                <w:b/>
                <w:bCs/>
                <w:color w:val="000000"/>
                <w:sz w:val="24"/>
                <w:szCs w:val="24"/>
              </w:rPr>
              <w:t>19</w:t>
            </w:r>
          </w:p>
        </w:tc>
        <w:tc>
          <w:tcPr>
            <w:tcW w:w="1360" w:type="dxa"/>
            <w:vAlign w:val="center"/>
          </w:tcPr>
          <w:p w14:paraId="08BD46D5"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hAnsi="Times New Roman" w:cs="Times New Roman"/>
                <w:b/>
                <w:bCs/>
                <w:color w:val="000000"/>
                <w:sz w:val="24"/>
                <w:szCs w:val="24"/>
              </w:rPr>
              <w:t>16</w:t>
            </w:r>
          </w:p>
        </w:tc>
        <w:tc>
          <w:tcPr>
            <w:tcW w:w="1360" w:type="dxa"/>
            <w:vAlign w:val="center"/>
          </w:tcPr>
          <w:p w14:paraId="60530150"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hAnsi="Times New Roman" w:cs="Times New Roman"/>
                <w:b/>
                <w:bCs/>
                <w:color w:val="000000"/>
                <w:sz w:val="24"/>
                <w:szCs w:val="24"/>
              </w:rPr>
              <w:t>16</w:t>
            </w:r>
          </w:p>
        </w:tc>
        <w:tc>
          <w:tcPr>
            <w:tcW w:w="1360" w:type="dxa"/>
            <w:vAlign w:val="center"/>
          </w:tcPr>
          <w:p w14:paraId="6B665325"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themeColor="dark1"/>
                <w:sz w:val="24"/>
                <w:szCs w:val="24"/>
              </w:rPr>
              <w:t>19</w:t>
            </w:r>
          </w:p>
        </w:tc>
        <w:tc>
          <w:tcPr>
            <w:tcW w:w="1360" w:type="dxa"/>
            <w:vAlign w:val="center"/>
          </w:tcPr>
          <w:p w14:paraId="4F90A0A9" w14:textId="77777777" w:rsidR="00AC35A9" w:rsidRPr="0033291F" w:rsidRDefault="00AC35A9" w:rsidP="009D3D9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91F">
              <w:rPr>
                <w:rFonts w:ascii="Times New Roman" w:eastAsia="Calibri" w:hAnsi="Times New Roman" w:cs="Times New Roman"/>
                <w:b/>
                <w:bCs/>
                <w:color w:val="000000" w:themeColor="dark1"/>
                <w:sz w:val="24"/>
                <w:szCs w:val="24"/>
              </w:rPr>
              <w:t>1</w:t>
            </w:r>
            <w:r>
              <w:rPr>
                <w:rFonts w:ascii="Times New Roman" w:eastAsia="Calibri" w:hAnsi="Times New Roman" w:cs="Times New Roman"/>
                <w:b/>
                <w:bCs/>
                <w:color w:val="000000" w:themeColor="dark1"/>
                <w:sz w:val="24"/>
                <w:szCs w:val="24"/>
              </w:rPr>
              <w:t>7</w:t>
            </w:r>
          </w:p>
        </w:tc>
      </w:tr>
    </w:tbl>
    <w:p w14:paraId="773793B3" w14:textId="77777777" w:rsidR="00AC35A9" w:rsidRDefault="00AC35A9" w:rsidP="00AC35A9">
      <w:pPr>
        <w:jc w:val="both"/>
        <w:rPr>
          <w:rFonts w:ascii="Times New Roman" w:hAnsi="Times New Roman" w:cs="Times New Roman"/>
          <w:sz w:val="24"/>
          <w:szCs w:val="24"/>
        </w:rPr>
      </w:pPr>
    </w:p>
    <w:p w14:paraId="106B653B" w14:textId="65B1F602"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Engel türlerine göre dağılım:</w:t>
      </w:r>
    </w:p>
    <w:p w14:paraId="03173446" w14:textId="77777777" w:rsidR="00AC35A9" w:rsidRPr="00AC35A9" w:rsidRDefault="00AC35A9" w:rsidP="00AC35A9">
      <w:pPr>
        <w:numPr>
          <w:ilvl w:val="0"/>
          <w:numId w:val="13"/>
        </w:numPr>
        <w:jc w:val="both"/>
        <w:rPr>
          <w:rFonts w:ascii="Times New Roman" w:hAnsi="Times New Roman" w:cs="Times New Roman"/>
          <w:sz w:val="24"/>
          <w:szCs w:val="24"/>
        </w:rPr>
      </w:pPr>
      <w:r w:rsidRPr="00AC35A9">
        <w:rPr>
          <w:rFonts w:ascii="Times New Roman" w:hAnsi="Times New Roman" w:cs="Times New Roman"/>
          <w:sz w:val="24"/>
          <w:szCs w:val="24"/>
        </w:rPr>
        <w:t>Ortopedik: 4</w:t>
      </w:r>
    </w:p>
    <w:p w14:paraId="2C3D0F83" w14:textId="77777777" w:rsidR="00AC35A9" w:rsidRPr="00AC35A9" w:rsidRDefault="00AC35A9" w:rsidP="00AC35A9">
      <w:pPr>
        <w:numPr>
          <w:ilvl w:val="0"/>
          <w:numId w:val="13"/>
        </w:numPr>
        <w:jc w:val="both"/>
        <w:rPr>
          <w:rFonts w:ascii="Times New Roman" w:hAnsi="Times New Roman" w:cs="Times New Roman"/>
          <w:sz w:val="24"/>
          <w:szCs w:val="24"/>
        </w:rPr>
      </w:pPr>
      <w:r w:rsidRPr="00AC35A9">
        <w:rPr>
          <w:rFonts w:ascii="Times New Roman" w:hAnsi="Times New Roman" w:cs="Times New Roman"/>
          <w:sz w:val="24"/>
          <w:szCs w:val="24"/>
        </w:rPr>
        <w:t>Görme: 5</w:t>
      </w:r>
    </w:p>
    <w:p w14:paraId="3D88E344" w14:textId="77777777" w:rsidR="00AC35A9" w:rsidRPr="00AC35A9" w:rsidRDefault="00AC35A9" w:rsidP="00AC35A9">
      <w:pPr>
        <w:numPr>
          <w:ilvl w:val="0"/>
          <w:numId w:val="13"/>
        </w:numPr>
        <w:jc w:val="both"/>
        <w:rPr>
          <w:rFonts w:ascii="Times New Roman" w:hAnsi="Times New Roman" w:cs="Times New Roman"/>
          <w:sz w:val="24"/>
          <w:szCs w:val="24"/>
        </w:rPr>
      </w:pPr>
      <w:r w:rsidRPr="00AC35A9">
        <w:rPr>
          <w:rFonts w:ascii="Times New Roman" w:hAnsi="Times New Roman" w:cs="Times New Roman"/>
          <w:sz w:val="24"/>
          <w:szCs w:val="24"/>
        </w:rPr>
        <w:t>İşitme: 2</w:t>
      </w:r>
    </w:p>
    <w:p w14:paraId="47838DE8" w14:textId="77777777" w:rsidR="00AC35A9" w:rsidRPr="00AC35A9" w:rsidRDefault="00AC35A9" w:rsidP="00AC35A9">
      <w:pPr>
        <w:numPr>
          <w:ilvl w:val="0"/>
          <w:numId w:val="13"/>
        </w:numPr>
        <w:jc w:val="both"/>
        <w:rPr>
          <w:rFonts w:ascii="Times New Roman" w:hAnsi="Times New Roman" w:cs="Times New Roman"/>
          <w:sz w:val="24"/>
          <w:szCs w:val="24"/>
        </w:rPr>
      </w:pPr>
      <w:r w:rsidRPr="00AC35A9">
        <w:rPr>
          <w:rFonts w:ascii="Times New Roman" w:hAnsi="Times New Roman" w:cs="Times New Roman"/>
          <w:sz w:val="24"/>
          <w:szCs w:val="24"/>
        </w:rPr>
        <w:t>Görme ve İşitme (birlikte): 1</w:t>
      </w:r>
    </w:p>
    <w:p w14:paraId="1CE7CDD5" w14:textId="77777777" w:rsidR="00AC35A9" w:rsidRPr="00AC35A9" w:rsidRDefault="00AC35A9" w:rsidP="00AC35A9">
      <w:pPr>
        <w:numPr>
          <w:ilvl w:val="0"/>
          <w:numId w:val="13"/>
        </w:numPr>
        <w:jc w:val="both"/>
        <w:rPr>
          <w:rFonts w:ascii="Times New Roman" w:hAnsi="Times New Roman" w:cs="Times New Roman"/>
          <w:sz w:val="24"/>
          <w:szCs w:val="24"/>
        </w:rPr>
      </w:pPr>
      <w:r w:rsidRPr="00AC35A9">
        <w:rPr>
          <w:rFonts w:ascii="Times New Roman" w:hAnsi="Times New Roman" w:cs="Times New Roman"/>
          <w:sz w:val="24"/>
          <w:szCs w:val="24"/>
        </w:rPr>
        <w:t>Zihinsel: 3</w:t>
      </w:r>
    </w:p>
    <w:p w14:paraId="03D021F9" w14:textId="77777777" w:rsidR="00AC35A9" w:rsidRPr="00AC35A9" w:rsidRDefault="00AC35A9" w:rsidP="00AC35A9">
      <w:pPr>
        <w:numPr>
          <w:ilvl w:val="0"/>
          <w:numId w:val="13"/>
        </w:numPr>
        <w:jc w:val="both"/>
        <w:rPr>
          <w:rFonts w:ascii="Times New Roman" w:hAnsi="Times New Roman" w:cs="Times New Roman"/>
          <w:sz w:val="24"/>
          <w:szCs w:val="24"/>
        </w:rPr>
      </w:pPr>
      <w:r w:rsidRPr="00AC35A9">
        <w:rPr>
          <w:rFonts w:ascii="Times New Roman" w:hAnsi="Times New Roman" w:cs="Times New Roman"/>
          <w:sz w:val="24"/>
          <w:szCs w:val="24"/>
        </w:rPr>
        <w:t>Kronik (süreğen) hastalık: 3</w:t>
      </w:r>
    </w:p>
    <w:p w14:paraId="62B40CC5"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3218E13D">
          <v:rect id="_x0000_i1028" style="width:0;height:1.5pt" o:hralign="center" o:hrstd="t" o:hr="t" fillcolor="#a0a0a0" stroked="f"/>
        </w:pict>
      </w:r>
    </w:p>
    <w:p w14:paraId="305ACE10"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4. 2024–2025 Akademik Yılı Faaliyetleri</w:t>
      </w:r>
    </w:p>
    <w:p w14:paraId="26A01641"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Engelli öğrencilerimizin üniversite yaşamına katılımını artırmak, farkındalık yaratmak ve toplumsal duyarlılığı güçlendirmek amacıyla yıl boyunca aşağıdaki etkinlik, proje ve seminerler düzenlenmiştir:</w:t>
      </w:r>
    </w:p>
    <w:p w14:paraId="6682784E" w14:textId="77777777" w:rsidR="00AC35A9" w:rsidRPr="00AC35A9" w:rsidRDefault="00AC35A9" w:rsidP="00AC35A9">
      <w:pPr>
        <w:numPr>
          <w:ilvl w:val="0"/>
          <w:numId w:val="14"/>
        </w:numPr>
        <w:jc w:val="both"/>
        <w:rPr>
          <w:rFonts w:ascii="Times New Roman" w:hAnsi="Times New Roman" w:cs="Times New Roman"/>
          <w:sz w:val="24"/>
          <w:szCs w:val="24"/>
        </w:rPr>
      </w:pPr>
      <w:r w:rsidRPr="00AC35A9">
        <w:rPr>
          <w:rFonts w:ascii="Times New Roman" w:hAnsi="Times New Roman" w:cs="Times New Roman"/>
          <w:sz w:val="24"/>
          <w:szCs w:val="24"/>
        </w:rPr>
        <w:t>24 Ekim 2024: Tarsus Belediyesi Kent Konseyi Engelliler Meclisi’nin oluşturulmasında üniversitemiz engelli öğrencilerinden biri aktif görev almıştır.</w:t>
      </w:r>
    </w:p>
    <w:p w14:paraId="364E271F" w14:textId="77777777" w:rsidR="00AC35A9" w:rsidRPr="00AC35A9" w:rsidRDefault="00AC35A9" w:rsidP="00AC35A9">
      <w:pPr>
        <w:numPr>
          <w:ilvl w:val="0"/>
          <w:numId w:val="14"/>
        </w:numPr>
        <w:jc w:val="both"/>
        <w:rPr>
          <w:rFonts w:ascii="Times New Roman" w:hAnsi="Times New Roman" w:cs="Times New Roman"/>
          <w:sz w:val="24"/>
          <w:szCs w:val="24"/>
        </w:rPr>
      </w:pPr>
      <w:r w:rsidRPr="00AC35A9">
        <w:rPr>
          <w:rFonts w:ascii="Times New Roman" w:hAnsi="Times New Roman" w:cs="Times New Roman"/>
          <w:sz w:val="24"/>
          <w:szCs w:val="24"/>
        </w:rPr>
        <w:t>7 Kasım 2024: Engelli öğrencilere yönelik 2024–2025 Oryantasyon Toplantısı gerçekleştirilmiştir.</w:t>
      </w:r>
    </w:p>
    <w:p w14:paraId="6F3FA17B" w14:textId="77777777" w:rsidR="00AC35A9" w:rsidRPr="00AC35A9" w:rsidRDefault="00AC35A9" w:rsidP="00AC35A9">
      <w:pPr>
        <w:numPr>
          <w:ilvl w:val="0"/>
          <w:numId w:val="14"/>
        </w:numPr>
        <w:jc w:val="both"/>
        <w:rPr>
          <w:rFonts w:ascii="Times New Roman" w:hAnsi="Times New Roman" w:cs="Times New Roman"/>
          <w:sz w:val="24"/>
          <w:szCs w:val="24"/>
        </w:rPr>
      </w:pPr>
      <w:r w:rsidRPr="00AC35A9">
        <w:rPr>
          <w:rFonts w:ascii="Times New Roman" w:hAnsi="Times New Roman" w:cs="Times New Roman"/>
          <w:sz w:val="24"/>
          <w:szCs w:val="24"/>
        </w:rPr>
        <w:t>3 Aralık 2024: Engelli Öğrenci Birim Sorumlusu Öğr. Gör. Elif Gürhan Duran tarafından Şehit Buminhan Temizkan Ortaokulu öğrencilerine “Engelli Bireylere Yönelik Farkındalık Eğitimi” konulu seminer verilmiştir.</w:t>
      </w:r>
    </w:p>
    <w:p w14:paraId="7722E7FD" w14:textId="77777777" w:rsidR="00AC35A9" w:rsidRPr="00AC35A9" w:rsidRDefault="00AC35A9" w:rsidP="00AC35A9">
      <w:pPr>
        <w:numPr>
          <w:ilvl w:val="0"/>
          <w:numId w:val="14"/>
        </w:numPr>
        <w:jc w:val="both"/>
        <w:rPr>
          <w:rFonts w:ascii="Times New Roman" w:hAnsi="Times New Roman" w:cs="Times New Roman"/>
          <w:sz w:val="24"/>
          <w:szCs w:val="24"/>
        </w:rPr>
      </w:pPr>
      <w:r w:rsidRPr="00AC35A9">
        <w:rPr>
          <w:rFonts w:ascii="Times New Roman" w:hAnsi="Times New Roman" w:cs="Times New Roman"/>
          <w:sz w:val="24"/>
          <w:szCs w:val="24"/>
        </w:rPr>
        <w:t>Aynı tarihte TRT Çukurova Radyosu “Genç Yaşam” programında, Öğr. Gör. Elif Gürhan Duran ve mezunumuz Umut Öztekin, üniversitemizin engelsiz eğitim faaliyetlerini ve farkındalık çalışmalarını kamuoyu ile paylaşmıştır.</w:t>
      </w:r>
    </w:p>
    <w:p w14:paraId="112ABBF1" w14:textId="77777777" w:rsidR="00AC35A9" w:rsidRPr="00AC35A9" w:rsidRDefault="00AC35A9" w:rsidP="00AC35A9">
      <w:pPr>
        <w:numPr>
          <w:ilvl w:val="0"/>
          <w:numId w:val="14"/>
        </w:numPr>
        <w:jc w:val="both"/>
        <w:rPr>
          <w:rFonts w:ascii="Times New Roman" w:hAnsi="Times New Roman" w:cs="Times New Roman"/>
          <w:sz w:val="24"/>
          <w:szCs w:val="24"/>
        </w:rPr>
      </w:pPr>
      <w:r w:rsidRPr="00AC35A9">
        <w:rPr>
          <w:rFonts w:ascii="Times New Roman" w:hAnsi="Times New Roman" w:cs="Times New Roman"/>
          <w:sz w:val="24"/>
          <w:szCs w:val="24"/>
        </w:rPr>
        <w:t>Sosyal Sorumluluk Projesi: Çağ Üniversitesi Sosyal Sorumluluk ve Araştırma Merkezi (SOSAM) bünyesinde, engelli ve yaşlı bakım merkezlerinde görev yapan personelin ilkyardım ve psikososyal destek becerilerini geliştirmeye yönelik proje, Engelli Öğrenci Birimi tarafından yürütülmüştür.</w:t>
      </w:r>
    </w:p>
    <w:p w14:paraId="2F78B6BD" w14:textId="77777777" w:rsidR="00AC35A9" w:rsidRPr="00AC35A9" w:rsidRDefault="00AC35A9" w:rsidP="00AC35A9">
      <w:pPr>
        <w:numPr>
          <w:ilvl w:val="1"/>
          <w:numId w:val="14"/>
        </w:numPr>
        <w:jc w:val="both"/>
        <w:rPr>
          <w:rFonts w:ascii="Times New Roman" w:hAnsi="Times New Roman" w:cs="Times New Roman"/>
          <w:sz w:val="24"/>
          <w:szCs w:val="24"/>
        </w:rPr>
      </w:pPr>
      <w:r w:rsidRPr="00AC35A9">
        <w:rPr>
          <w:rFonts w:ascii="Times New Roman" w:hAnsi="Times New Roman" w:cs="Times New Roman"/>
          <w:sz w:val="24"/>
          <w:szCs w:val="24"/>
        </w:rPr>
        <w:lastRenderedPageBreak/>
        <w:t>Proje yürütücüleri: Öğr. Gör. Elif Gürhan Duran &amp; Öğr. Gör. Ayşe Tazegül</w:t>
      </w:r>
    </w:p>
    <w:p w14:paraId="45072E40" w14:textId="77777777" w:rsidR="00AC35A9" w:rsidRPr="00AC35A9" w:rsidRDefault="00AC35A9" w:rsidP="00AC35A9">
      <w:pPr>
        <w:numPr>
          <w:ilvl w:val="1"/>
          <w:numId w:val="14"/>
        </w:numPr>
        <w:jc w:val="both"/>
        <w:rPr>
          <w:rFonts w:ascii="Times New Roman" w:hAnsi="Times New Roman" w:cs="Times New Roman"/>
          <w:sz w:val="24"/>
          <w:szCs w:val="24"/>
        </w:rPr>
      </w:pPr>
      <w:r w:rsidRPr="00AC35A9">
        <w:rPr>
          <w:rFonts w:ascii="Times New Roman" w:hAnsi="Times New Roman" w:cs="Times New Roman"/>
          <w:sz w:val="24"/>
          <w:szCs w:val="24"/>
        </w:rPr>
        <w:t>Uygulama dönemi: Aralık 2024</w:t>
      </w:r>
    </w:p>
    <w:p w14:paraId="3F8632EE" w14:textId="77777777" w:rsidR="00AC35A9" w:rsidRPr="00AC35A9" w:rsidRDefault="00AC35A9" w:rsidP="00AC35A9">
      <w:pPr>
        <w:numPr>
          <w:ilvl w:val="1"/>
          <w:numId w:val="14"/>
        </w:numPr>
        <w:jc w:val="both"/>
        <w:rPr>
          <w:rFonts w:ascii="Times New Roman" w:hAnsi="Times New Roman" w:cs="Times New Roman"/>
          <w:sz w:val="24"/>
          <w:szCs w:val="24"/>
        </w:rPr>
      </w:pPr>
      <w:r w:rsidRPr="00AC35A9">
        <w:rPr>
          <w:rFonts w:ascii="Times New Roman" w:hAnsi="Times New Roman" w:cs="Times New Roman"/>
          <w:sz w:val="24"/>
          <w:szCs w:val="24"/>
        </w:rPr>
        <w:t>Süre: 6 hafta</w:t>
      </w:r>
    </w:p>
    <w:p w14:paraId="1A5C9A99" w14:textId="77777777" w:rsidR="00AC35A9" w:rsidRPr="00AC35A9" w:rsidRDefault="00AC35A9" w:rsidP="00AC35A9">
      <w:pPr>
        <w:numPr>
          <w:ilvl w:val="1"/>
          <w:numId w:val="14"/>
        </w:numPr>
        <w:jc w:val="both"/>
        <w:rPr>
          <w:rFonts w:ascii="Times New Roman" w:hAnsi="Times New Roman" w:cs="Times New Roman"/>
          <w:sz w:val="24"/>
          <w:szCs w:val="24"/>
        </w:rPr>
      </w:pPr>
      <w:r w:rsidRPr="00AC35A9">
        <w:rPr>
          <w:rFonts w:ascii="Times New Roman" w:hAnsi="Times New Roman" w:cs="Times New Roman"/>
          <w:sz w:val="24"/>
          <w:szCs w:val="24"/>
        </w:rPr>
        <w:t>Eğitim kurumları: Sevgibağı ve Bahar Huzurevleri</w:t>
      </w:r>
    </w:p>
    <w:p w14:paraId="6DA393A8" w14:textId="77777777" w:rsidR="00AC35A9" w:rsidRPr="00AC35A9" w:rsidRDefault="00AC35A9" w:rsidP="00AC35A9">
      <w:pPr>
        <w:numPr>
          <w:ilvl w:val="1"/>
          <w:numId w:val="14"/>
        </w:numPr>
        <w:jc w:val="both"/>
        <w:rPr>
          <w:rFonts w:ascii="Times New Roman" w:hAnsi="Times New Roman" w:cs="Times New Roman"/>
          <w:sz w:val="24"/>
          <w:szCs w:val="24"/>
        </w:rPr>
      </w:pPr>
      <w:r w:rsidRPr="00AC35A9">
        <w:rPr>
          <w:rFonts w:ascii="Times New Roman" w:hAnsi="Times New Roman" w:cs="Times New Roman"/>
          <w:sz w:val="24"/>
          <w:szCs w:val="24"/>
        </w:rPr>
        <w:t>Eğitim içerikleri: Eğitim planlama, bakım hastalarına yönelik ilkyardım ve psikososyal destek uygulamaları</w:t>
      </w:r>
    </w:p>
    <w:p w14:paraId="37647716"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7F85A14C">
          <v:rect id="_x0000_i1029" style="width:0;height:1.5pt" o:hralign="center" o:hrstd="t" o:hr="t" fillcolor="#a0a0a0" stroked="f"/>
        </w:pict>
      </w:r>
    </w:p>
    <w:p w14:paraId="243965EE"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5. Fiziksel Erişilebilirlik ve Altyapı Çalışmaları</w:t>
      </w:r>
    </w:p>
    <w:p w14:paraId="49081442"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Üniversitemizde engelsiz kampüs hedefi doğrultusunda yürütülen erişilebilirlik çalışmaları:</w:t>
      </w:r>
    </w:p>
    <w:p w14:paraId="55FDF5AD" w14:textId="77777777"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Önceki yıllarda yapılan büyük yatırımların ardından bu yıl tamamlayıcı düzenlemeler yapılmıştır.</w:t>
      </w:r>
    </w:p>
    <w:p w14:paraId="0AC6D58D" w14:textId="77777777"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Hazırlık Okulu, Meslek Yüksekokulu ve Fen-Edebiyat Fakültesi binalarında engelli lifti ve uyumlu asansörlerle erişim sağlanmaktadır.</w:t>
      </w:r>
    </w:p>
    <w:p w14:paraId="08FB44B0" w14:textId="1B7B63D8"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 xml:space="preserve">Rektörlük binası girişine engelli rampaları ve lifti </w:t>
      </w:r>
      <w:r w:rsidR="00393FE9">
        <w:rPr>
          <w:rFonts w:ascii="Times New Roman" w:hAnsi="Times New Roman" w:cs="Times New Roman"/>
          <w:sz w:val="24"/>
          <w:szCs w:val="24"/>
        </w:rPr>
        <w:t>mevcuttur.</w:t>
      </w:r>
    </w:p>
    <w:p w14:paraId="2A86CBD6" w14:textId="77777777"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Hukuk Fakültesi, İİBF ve Sosyal Bilimler Enstitüsü binalarında engelli lifti mevcuttur.</w:t>
      </w:r>
    </w:p>
    <w:p w14:paraId="1046978D" w14:textId="4BBCA4E5"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Bilgi ve Teknoloji Merkezi (kütüphane binası) engelsiz hal</w:t>
      </w:r>
      <w:r w:rsidR="00393FE9">
        <w:rPr>
          <w:rFonts w:ascii="Times New Roman" w:hAnsi="Times New Roman" w:cs="Times New Roman"/>
          <w:sz w:val="24"/>
          <w:szCs w:val="24"/>
        </w:rPr>
        <w:t>dedir.</w:t>
      </w:r>
    </w:p>
    <w:p w14:paraId="7F30C8A5" w14:textId="65847BF9"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 xml:space="preserve">Kampüs genelinde </w:t>
      </w:r>
      <w:r w:rsidR="00A616EC">
        <w:rPr>
          <w:rFonts w:ascii="Times New Roman" w:hAnsi="Times New Roman" w:cs="Times New Roman"/>
          <w:sz w:val="24"/>
          <w:szCs w:val="24"/>
        </w:rPr>
        <w:t>9</w:t>
      </w:r>
      <w:r w:rsidRPr="00AC35A9">
        <w:rPr>
          <w:rFonts w:ascii="Times New Roman" w:hAnsi="Times New Roman" w:cs="Times New Roman"/>
          <w:sz w:val="24"/>
          <w:szCs w:val="24"/>
        </w:rPr>
        <w:t xml:space="preserve"> adet engelli otoparkı, engelli WC’ler ve tırabzanlar bulunmaktadır.</w:t>
      </w:r>
    </w:p>
    <w:p w14:paraId="0D8E6CA3" w14:textId="77777777" w:rsidR="00AC35A9" w:rsidRPr="00AC35A9" w:rsidRDefault="00AC35A9" w:rsidP="00AC35A9">
      <w:pPr>
        <w:numPr>
          <w:ilvl w:val="0"/>
          <w:numId w:val="15"/>
        </w:numPr>
        <w:jc w:val="both"/>
        <w:rPr>
          <w:rFonts w:ascii="Times New Roman" w:hAnsi="Times New Roman" w:cs="Times New Roman"/>
          <w:sz w:val="24"/>
          <w:szCs w:val="24"/>
        </w:rPr>
      </w:pPr>
      <w:r w:rsidRPr="00AC35A9">
        <w:rPr>
          <w:rFonts w:ascii="Times New Roman" w:hAnsi="Times New Roman" w:cs="Times New Roman"/>
          <w:sz w:val="24"/>
          <w:szCs w:val="24"/>
        </w:rPr>
        <w:t>Engelli ziyaretçiler ve öğrenciler için tekerlekli sandalye ve golf araçları hizmeti sunulmaktadır.</w:t>
      </w:r>
    </w:p>
    <w:p w14:paraId="2BEA6516" w14:textId="42BC7E05" w:rsidR="00AC35A9" w:rsidRPr="00AC35A9" w:rsidRDefault="00393FE9" w:rsidP="00AC35A9">
      <w:pPr>
        <w:numPr>
          <w:ilvl w:val="0"/>
          <w:numId w:val="15"/>
        </w:numPr>
        <w:jc w:val="both"/>
        <w:rPr>
          <w:rFonts w:ascii="Times New Roman" w:hAnsi="Times New Roman" w:cs="Times New Roman"/>
          <w:sz w:val="24"/>
          <w:szCs w:val="24"/>
        </w:rPr>
      </w:pPr>
      <w:r>
        <w:rPr>
          <w:rFonts w:ascii="Times New Roman" w:hAnsi="Times New Roman" w:cs="Times New Roman"/>
          <w:sz w:val="24"/>
          <w:szCs w:val="24"/>
        </w:rPr>
        <w:t>Öğrenci Yemekhanesi</w:t>
      </w:r>
      <w:r w:rsidR="00AC35A9" w:rsidRPr="00AC35A9">
        <w:rPr>
          <w:rFonts w:ascii="Times New Roman" w:hAnsi="Times New Roman" w:cs="Times New Roman"/>
          <w:sz w:val="24"/>
          <w:szCs w:val="24"/>
        </w:rPr>
        <w:t xml:space="preserve"> ve Kültür-Sanat Merkezi erişilebilir </w:t>
      </w:r>
      <w:r>
        <w:rPr>
          <w:rFonts w:ascii="Times New Roman" w:hAnsi="Times New Roman" w:cs="Times New Roman"/>
          <w:sz w:val="24"/>
          <w:szCs w:val="24"/>
        </w:rPr>
        <w:t>vaziyettedir.</w:t>
      </w:r>
    </w:p>
    <w:p w14:paraId="5A34B57D"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Üniversitemiz, bu çalışmalar sonucunda Mekânda Erişilebilirlik Ödülü (Turuncu Bayrak) almaya hak kazanmıştır.</w:t>
      </w:r>
    </w:p>
    <w:p w14:paraId="3323549A"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4489CD08">
          <v:rect id="_x0000_i1030" style="width:0;height:1.5pt" o:hralign="center" o:hrstd="t" o:hr="t" fillcolor="#a0a0a0" stroked="f"/>
        </w:pict>
      </w:r>
    </w:p>
    <w:p w14:paraId="6D7169C4"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6. Eğitim ve Sınavlarda Erişilebilirlik</w:t>
      </w:r>
    </w:p>
    <w:p w14:paraId="32F36B88"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Engelli Öğrenci Birimi tarafından hazırlanan yönerge ve yönetmelikler doğrultusunda, öğrencilerin ders ve sınav süreçleri düzenli olarak izlenmektedir.</w:t>
      </w:r>
    </w:p>
    <w:p w14:paraId="3F710677" w14:textId="77777777" w:rsidR="00AC35A9" w:rsidRPr="00AC35A9" w:rsidRDefault="00AC35A9" w:rsidP="00AC35A9">
      <w:pPr>
        <w:numPr>
          <w:ilvl w:val="0"/>
          <w:numId w:val="16"/>
        </w:numPr>
        <w:jc w:val="both"/>
        <w:rPr>
          <w:rFonts w:ascii="Times New Roman" w:hAnsi="Times New Roman" w:cs="Times New Roman"/>
          <w:sz w:val="24"/>
          <w:szCs w:val="24"/>
        </w:rPr>
      </w:pPr>
      <w:r w:rsidRPr="00AC35A9">
        <w:rPr>
          <w:rFonts w:ascii="Times New Roman" w:hAnsi="Times New Roman" w:cs="Times New Roman"/>
          <w:sz w:val="24"/>
          <w:szCs w:val="24"/>
        </w:rPr>
        <w:t>Öğrencilerin bireysel gereksinimlerine uygun ders materyali desteği, ek süre, alternatif değerlendirme yöntemleri ve teknolojik araç desteği sağlanmaktadır.</w:t>
      </w:r>
    </w:p>
    <w:p w14:paraId="6E11D6B3" w14:textId="77777777" w:rsidR="00AC35A9" w:rsidRPr="00AC35A9" w:rsidRDefault="00AC35A9" w:rsidP="00AC35A9">
      <w:pPr>
        <w:numPr>
          <w:ilvl w:val="0"/>
          <w:numId w:val="16"/>
        </w:numPr>
        <w:jc w:val="both"/>
        <w:rPr>
          <w:rFonts w:ascii="Times New Roman" w:hAnsi="Times New Roman" w:cs="Times New Roman"/>
          <w:sz w:val="24"/>
          <w:szCs w:val="24"/>
        </w:rPr>
      </w:pPr>
      <w:r w:rsidRPr="00AC35A9">
        <w:rPr>
          <w:rFonts w:ascii="Times New Roman" w:hAnsi="Times New Roman" w:cs="Times New Roman"/>
          <w:sz w:val="24"/>
          <w:szCs w:val="24"/>
        </w:rPr>
        <w:t>Fakülte ve müdürlüklerde görevlendirilen Engelli Öğrenci Birimi temsilcileri, engelli öğrencilerle birebir iletişim kurarak ders ve sınav süreçlerinde destek sunmaktadır.</w:t>
      </w:r>
    </w:p>
    <w:p w14:paraId="3D667834" w14:textId="77777777" w:rsidR="00AC35A9" w:rsidRDefault="00AC35A9" w:rsidP="00AC35A9">
      <w:pPr>
        <w:numPr>
          <w:ilvl w:val="0"/>
          <w:numId w:val="16"/>
        </w:numPr>
        <w:jc w:val="both"/>
        <w:rPr>
          <w:rFonts w:ascii="Times New Roman" w:hAnsi="Times New Roman" w:cs="Times New Roman"/>
          <w:sz w:val="24"/>
          <w:szCs w:val="24"/>
        </w:rPr>
      </w:pPr>
      <w:r w:rsidRPr="00AC35A9">
        <w:rPr>
          <w:rFonts w:ascii="Times New Roman" w:hAnsi="Times New Roman" w:cs="Times New Roman"/>
          <w:sz w:val="24"/>
          <w:szCs w:val="24"/>
        </w:rPr>
        <w:t>Gerekli görülen durumlarda rektörlük tarafından cihaz, yazılım ve donanım temini yapılmaktadır.</w:t>
      </w:r>
    </w:p>
    <w:p w14:paraId="1D9C8F7A" w14:textId="77777777" w:rsidR="00BC3E71" w:rsidRPr="00BC3E71" w:rsidRDefault="00BC3E71" w:rsidP="00BC3E71">
      <w:pPr>
        <w:numPr>
          <w:ilvl w:val="0"/>
          <w:numId w:val="16"/>
        </w:numPr>
        <w:jc w:val="both"/>
        <w:rPr>
          <w:rFonts w:ascii="Times New Roman" w:hAnsi="Times New Roman" w:cs="Times New Roman"/>
          <w:sz w:val="40"/>
          <w:szCs w:val="40"/>
        </w:rPr>
      </w:pPr>
      <w:r w:rsidRPr="00BC3E71">
        <w:rPr>
          <w:rFonts w:ascii="Times New Roman" w:hAnsi="Times New Roman" w:cs="Times New Roman"/>
          <w:color w:val="000000"/>
          <w:sz w:val="24"/>
          <w:szCs w:val="24"/>
        </w:rPr>
        <w:t>Kütüphanemizdeki jaws programı,</w:t>
      </w:r>
      <w:r>
        <w:rPr>
          <w:rFonts w:ascii="Times New Roman" w:hAnsi="Times New Roman" w:cs="Times New Roman"/>
          <w:color w:val="000000"/>
          <w:sz w:val="24"/>
          <w:szCs w:val="24"/>
        </w:rPr>
        <w:t xml:space="preserve"> </w:t>
      </w:r>
      <w:r w:rsidRPr="00BC3E71">
        <w:rPr>
          <w:rFonts w:ascii="Times New Roman" w:hAnsi="Times New Roman" w:cs="Times New Roman"/>
          <w:color w:val="000000"/>
          <w:sz w:val="24"/>
          <w:szCs w:val="24"/>
        </w:rPr>
        <w:t>pdf tarayıcı ve braille klavyesiyle görme engelliler yazılı materyalleri sese dönüştürebilmektedir.</w:t>
      </w:r>
    </w:p>
    <w:p w14:paraId="61AF4FFD" w14:textId="62F6E37D" w:rsidR="00BC3E71" w:rsidRPr="00BC3E71" w:rsidRDefault="00BC3E71" w:rsidP="00BC3E71">
      <w:pPr>
        <w:numPr>
          <w:ilvl w:val="0"/>
          <w:numId w:val="16"/>
        </w:numPr>
        <w:jc w:val="both"/>
        <w:rPr>
          <w:rFonts w:ascii="Times New Roman" w:hAnsi="Times New Roman" w:cs="Times New Roman"/>
          <w:sz w:val="56"/>
          <w:szCs w:val="56"/>
        </w:rPr>
      </w:pPr>
      <w:r w:rsidRPr="00BC3E71">
        <w:rPr>
          <w:rFonts w:ascii="Times New Roman" w:hAnsi="Times New Roman" w:cs="Times New Roman"/>
          <w:color w:val="000000"/>
          <w:sz w:val="24"/>
          <w:szCs w:val="24"/>
        </w:rPr>
        <w:lastRenderedPageBreak/>
        <w:t>Üniversitemizde çanta tip indüksiyon cihazı bulunmaktadır ve işitme engelli öğrencilerimiz için kullanılmaktadır.</w:t>
      </w:r>
    </w:p>
    <w:p w14:paraId="1F1E4161"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758B7F73">
          <v:rect id="_x0000_i1031" style="width:0;height:1.5pt" o:hralign="center" o:hrstd="t" o:hr="t" fillcolor="#a0a0a0" stroked="f"/>
        </w:pict>
      </w:r>
    </w:p>
    <w:p w14:paraId="66BEDB96"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7. Kampüs Oryantasyonu ve Destek Hizmetleri</w:t>
      </w:r>
    </w:p>
    <w:p w14:paraId="78A44FFF" w14:textId="6866EE2C" w:rsidR="00BC3E71"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Oryantasyon sürecinde, engelli öğrencilerimizin kampüs içi hareketliliğini kolaylaştırmak amacıyla güvenlik birimi personelleri destek sağlamaktadır. Gerektiğinde fiziksel yardım ve yönlendirme yapılmakta, engelsiz erişim sürekliliği sağlanmaktadır.</w:t>
      </w:r>
    </w:p>
    <w:p w14:paraId="2FD2EFD3"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03A54CED">
          <v:rect id="_x0000_i1032" style="width:0;height:1.5pt" o:hralign="center" o:hrstd="t" o:hr="t" fillcolor="#a0a0a0" stroked="f"/>
        </w:pict>
      </w:r>
    </w:p>
    <w:p w14:paraId="4A47493E" w14:textId="77777777" w:rsidR="00AC35A9" w:rsidRPr="00AC35A9" w:rsidRDefault="00AC35A9" w:rsidP="00AC35A9">
      <w:pPr>
        <w:jc w:val="both"/>
        <w:rPr>
          <w:rFonts w:ascii="Times New Roman" w:hAnsi="Times New Roman" w:cs="Times New Roman"/>
          <w:b/>
          <w:bCs/>
          <w:sz w:val="24"/>
          <w:szCs w:val="24"/>
        </w:rPr>
      </w:pPr>
      <w:r w:rsidRPr="00AC35A9">
        <w:rPr>
          <w:rFonts w:ascii="Times New Roman" w:hAnsi="Times New Roman" w:cs="Times New Roman"/>
          <w:b/>
          <w:bCs/>
          <w:sz w:val="24"/>
          <w:szCs w:val="24"/>
        </w:rPr>
        <w:t>8. Sonuç ve Değerlendirme</w:t>
      </w:r>
    </w:p>
    <w:p w14:paraId="2BD1B654"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Çağ Üniversitesi, Engelsiz Üniversite hedefleri doğrultusunda kapsayıcı eğitim ortamları oluşturmaya, fiziksel ve dijital erişilebilirliği geliştirmeye, farkındalık çalışmalarını yaygınlaştırmaya devam etmektedir.</w:t>
      </w:r>
    </w:p>
    <w:p w14:paraId="274C7016" w14:textId="77777777" w:rsidR="00AC35A9" w:rsidRPr="00AC35A9" w:rsidRDefault="00AC35A9" w:rsidP="00AC35A9">
      <w:pPr>
        <w:jc w:val="both"/>
        <w:rPr>
          <w:rFonts w:ascii="Times New Roman" w:hAnsi="Times New Roman" w:cs="Times New Roman"/>
          <w:sz w:val="24"/>
          <w:szCs w:val="24"/>
        </w:rPr>
      </w:pPr>
      <w:r w:rsidRPr="00AC35A9">
        <w:rPr>
          <w:rFonts w:ascii="Times New Roman" w:hAnsi="Times New Roman" w:cs="Times New Roman"/>
          <w:sz w:val="24"/>
          <w:szCs w:val="24"/>
        </w:rPr>
        <w:t>2025–2026 akademik yılında, fakülte bazlı Engelsiz Bayrak Ödüllerinin alınması, Engelsiz Program Nişanı başvurularının genişletilmesi ve öğrenci destek hizmetlerinin çeşitlendirilmesi planlanmaktadır.</w:t>
      </w:r>
    </w:p>
    <w:p w14:paraId="3A74BEFB" w14:textId="77777777" w:rsidR="00AC35A9" w:rsidRPr="00AC35A9" w:rsidRDefault="00000000" w:rsidP="00AC35A9">
      <w:pPr>
        <w:jc w:val="both"/>
        <w:rPr>
          <w:rFonts w:ascii="Times New Roman" w:hAnsi="Times New Roman" w:cs="Times New Roman"/>
          <w:sz w:val="24"/>
          <w:szCs w:val="24"/>
        </w:rPr>
      </w:pPr>
      <w:r>
        <w:rPr>
          <w:rFonts w:ascii="Times New Roman" w:hAnsi="Times New Roman" w:cs="Times New Roman"/>
          <w:sz w:val="24"/>
          <w:szCs w:val="24"/>
        </w:rPr>
        <w:pict w14:anchorId="7784D42B">
          <v:rect id="_x0000_i1033" style="width:0;height:1.5pt" o:hralign="center" o:hrstd="t" o:hr="t" fillcolor="#a0a0a0" stroked="f"/>
        </w:pict>
      </w:r>
    </w:p>
    <w:p w14:paraId="2BCF657F" w14:textId="7887D09C" w:rsidR="00AC35A9" w:rsidRPr="00AC35A9" w:rsidRDefault="00AC35A9" w:rsidP="00AC35A9">
      <w:pPr>
        <w:jc w:val="right"/>
        <w:rPr>
          <w:rFonts w:ascii="Times New Roman" w:hAnsi="Times New Roman" w:cs="Times New Roman"/>
          <w:sz w:val="24"/>
          <w:szCs w:val="24"/>
        </w:rPr>
      </w:pPr>
      <w:r w:rsidRPr="00AC35A9">
        <w:rPr>
          <w:rFonts w:ascii="Times New Roman" w:hAnsi="Times New Roman" w:cs="Times New Roman"/>
          <w:sz w:val="24"/>
          <w:szCs w:val="24"/>
        </w:rPr>
        <w:t>Hazırlayan:</w:t>
      </w:r>
      <w:r w:rsidRPr="00AC35A9">
        <w:rPr>
          <w:rFonts w:ascii="Times New Roman" w:hAnsi="Times New Roman" w:cs="Times New Roman"/>
          <w:sz w:val="24"/>
          <w:szCs w:val="24"/>
        </w:rPr>
        <w:br/>
        <w:t>Öğr. Gör. Elif GÜRHAN DURAN</w:t>
      </w:r>
      <w:r w:rsidRPr="00AC35A9">
        <w:rPr>
          <w:rFonts w:ascii="Times New Roman" w:hAnsi="Times New Roman" w:cs="Times New Roman"/>
          <w:sz w:val="24"/>
          <w:szCs w:val="24"/>
        </w:rPr>
        <w:br/>
        <w:t>Çağ Üniversitesi Engelli Öğrenci Birim Sorumlusu</w:t>
      </w:r>
    </w:p>
    <w:p w14:paraId="29B51483" w14:textId="2A2A263A" w:rsidR="00AC35A9" w:rsidRDefault="00AC35A9" w:rsidP="00AC35A9">
      <w:pPr>
        <w:jc w:val="right"/>
        <w:rPr>
          <w:rFonts w:ascii="Times New Roman" w:hAnsi="Times New Roman" w:cs="Times New Roman"/>
          <w:b/>
          <w:bCs/>
          <w:sz w:val="24"/>
          <w:szCs w:val="24"/>
        </w:rPr>
      </w:pPr>
    </w:p>
    <w:p w14:paraId="0B46582D" w14:textId="77777777" w:rsidR="00AC35A9" w:rsidRPr="00AC35A9" w:rsidRDefault="00AC35A9" w:rsidP="00AC35A9">
      <w:pPr>
        <w:jc w:val="both"/>
        <w:rPr>
          <w:rFonts w:ascii="Times New Roman" w:hAnsi="Times New Roman" w:cs="Times New Roman"/>
          <w:b/>
          <w:bCs/>
          <w:sz w:val="24"/>
          <w:szCs w:val="24"/>
        </w:rPr>
      </w:pPr>
    </w:p>
    <w:p w14:paraId="394816BF" w14:textId="77777777" w:rsidR="00AC35A9" w:rsidRPr="00AC35A9" w:rsidRDefault="00AC35A9" w:rsidP="00AC35A9">
      <w:pPr>
        <w:jc w:val="both"/>
        <w:rPr>
          <w:rFonts w:ascii="Times New Roman" w:hAnsi="Times New Roman" w:cs="Times New Roman"/>
          <w:b/>
          <w:bCs/>
          <w:sz w:val="24"/>
          <w:szCs w:val="24"/>
        </w:rPr>
      </w:pPr>
    </w:p>
    <w:sectPr w:rsidR="00AC35A9" w:rsidRPr="00AC3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9BC"/>
    <w:multiLevelType w:val="hybridMultilevel"/>
    <w:tmpl w:val="B1E4FAD6"/>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9F4637"/>
    <w:multiLevelType w:val="multilevel"/>
    <w:tmpl w:val="D9A2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56747"/>
    <w:multiLevelType w:val="hybridMultilevel"/>
    <w:tmpl w:val="04101B0C"/>
    <w:lvl w:ilvl="0" w:tplc="8924CFB6">
      <w:start w:val="202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886B58"/>
    <w:multiLevelType w:val="hybridMultilevel"/>
    <w:tmpl w:val="7B283F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EE46826"/>
    <w:multiLevelType w:val="multilevel"/>
    <w:tmpl w:val="935C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93BD6"/>
    <w:multiLevelType w:val="hybridMultilevel"/>
    <w:tmpl w:val="5DB2057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06A76F8"/>
    <w:multiLevelType w:val="multilevel"/>
    <w:tmpl w:val="B92E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960911"/>
    <w:multiLevelType w:val="multilevel"/>
    <w:tmpl w:val="07A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D3B65"/>
    <w:multiLevelType w:val="hybridMultilevel"/>
    <w:tmpl w:val="1D22FA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C8117D"/>
    <w:multiLevelType w:val="multilevel"/>
    <w:tmpl w:val="2D9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C7F86"/>
    <w:multiLevelType w:val="multilevel"/>
    <w:tmpl w:val="29B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5139D"/>
    <w:multiLevelType w:val="hybridMultilevel"/>
    <w:tmpl w:val="2B7ED5E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D3565B"/>
    <w:multiLevelType w:val="multilevel"/>
    <w:tmpl w:val="337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31BC8"/>
    <w:multiLevelType w:val="hybridMultilevel"/>
    <w:tmpl w:val="F0A6AA3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1710CB"/>
    <w:multiLevelType w:val="hybridMultilevel"/>
    <w:tmpl w:val="FFC254F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4B4E36"/>
    <w:multiLevelType w:val="hybridMultilevel"/>
    <w:tmpl w:val="53541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30892306">
    <w:abstractNumId w:val="15"/>
  </w:num>
  <w:num w:numId="2" w16cid:durableId="249000329">
    <w:abstractNumId w:val="0"/>
  </w:num>
  <w:num w:numId="3" w16cid:durableId="982656275">
    <w:abstractNumId w:val="14"/>
  </w:num>
  <w:num w:numId="4" w16cid:durableId="1900939239">
    <w:abstractNumId w:val="11"/>
  </w:num>
  <w:num w:numId="5" w16cid:durableId="1932733914">
    <w:abstractNumId w:val="3"/>
  </w:num>
  <w:num w:numId="6" w16cid:durableId="1865098828">
    <w:abstractNumId w:val="13"/>
  </w:num>
  <w:num w:numId="7" w16cid:durableId="1424835788">
    <w:abstractNumId w:val="8"/>
  </w:num>
  <w:num w:numId="8" w16cid:durableId="1172721615">
    <w:abstractNumId w:val="5"/>
  </w:num>
  <w:num w:numId="9" w16cid:durableId="511188801">
    <w:abstractNumId w:val="2"/>
  </w:num>
  <w:num w:numId="10" w16cid:durableId="1291937249">
    <w:abstractNumId w:val="10"/>
  </w:num>
  <w:num w:numId="11" w16cid:durableId="1181118050">
    <w:abstractNumId w:val="6"/>
  </w:num>
  <w:num w:numId="12" w16cid:durableId="542526617">
    <w:abstractNumId w:val="7"/>
  </w:num>
  <w:num w:numId="13" w16cid:durableId="1919824079">
    <w:abstractNumId w:val="12"/>
  </w:num>
  <w:num w:numId="14" w16cid:durableId="243338205">
    <w:abstractNumId w:val="1"/>
  </w:num>
  <w:num w:numId="15" w16cid:durableId="182131865">
    <w:abstractNumId w:val="9"/>
  </w:num>
  <w:num w:numId="16" w16cid:durableId="1867675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AF"/>
    <w:rsid w:val="000D1F96"/>
    <w:rsid w:val="001C2114"/>
    <w:rsid w:val="00237C04"/>
    <w:rsid w:val="002744E0"/>
    <w:rsid w:val="002B121A"/>
    <w:rsid w:val="002C2AA1"/>
    <w:rsid w:val="0033291F"/>
    <w:rsid w:val="00364A38"/>
    <w:rsid w:val="00393FE9"/>
    <w:rsid w:val="00443328"/>
    <w:rsid w:val="00445134"/>
    <w:rsid w:val="004E3873"/>
    <w:rsid w:val="005436C8"/>
    <w:rsid w:val="00672378"/>
    <w:rsid w:val="006E0B4F"/>
    <w:rsid w:val="006F75C9"/>
    <w:rsid w:val="00701E5C"/>
    <w:rsid w:val="00723338"/>
    <w:rsid w:val="00751948"/>
    <w:rsid w:val="007972DE"/>
    <w:rsid w:val="0085531B"/>
    <w:rsid w:val="008F72DF"/>
    <w:rsid w:val="009378AE"/>
    <w:rsid w:val="00941D5F"/>
    <w:rsid w:val="00A1218D"/>
    <w:rsid w:val="00A616EC"/>
    <w:rsid w:val="00AA5BAF"/>
    <w:rsid w:val="00AC35A9"/>
    <w:rsid w:val="00B10B33"/>
    <w:rsid w:val="00B132AF"/>
    <w:rsid w:val="00B14E6F"/>
    <w:rsid w:val="00B66A04"/>
    <w:rsid w:val="00BC3E71"/>
    <w:rsid w:val="00C532AA"/>
    <w:rsid w:val="00DE6C88"/>
    <w:rsid w:val="00E03573"/>
    <w:rsid w:val="00E659D3"/>
    <w:rsid w:val="00EA0445"/>
    <w:rsid w:val="00F0129D"/>
    <w:rsid w:val="00F53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C191"/>
  <w15:chartTrackingRefBased/>
  <w15:docId w15:val="{B5F884BE-AF48-4004-AE1D-C7F45682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5">
    <w:name w:val="Grid Table 4 Accent 5"/>
    <w:basedOn w:val="NormalTablo"/>
    <w:uiPriority w:val="49"/>
    <w:rsid w:val="00941D5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Default">
    <w:name w:val="Default"/>
    <w:rsid w:val="00DE6C8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eParagraf">
    <w:name w:val="List Paragraph"/>
    <w:aliases w:val="içindekiler vb,p"/>
    <w:basedOn w:val="Normal"/>
    <w:link w:val="ListeParagrafChar"/>
    <w:uiPriority w:val="34"/>
    <w:qFormat/>
    <w:rsid w:val="00DE6C88"/>
    <w:pPr>
      <w:ind w:left="720"/>
      <w:contextualSpacing/>
    </w:pPr>
  </w:style>
  <w:style w:type="paragraph" w:styleId="NormalWeb">
    <w:name w:val="Normal (Web)"/>
    <w:basedOn w:val="Normal"/>
    <w:uiPriority w:val="99"/>
    <w:unhideWhenUsed/>
    <w:rsid w:val="006E0B4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9378AE"/>
    <w:rPr>
      <w:color w:val="0000FF"/>
      <w:u w:val="single"/>
    </w:rPr>
  </w:style>
  <w:style w:type="character" w:styleId="Gl">
    <w:name w:val="Strong"/>
    <w:basedOn w:val="VarsaylanParagrafYazTipi"/>
    <w:uiPriority w:val="22"/>
    <w:qFormat/>
    <w:rsid w:val="0033291F"/>
    <w:rPr>
      <w:b/>
      <w:bCs/>
    </w:rPr>
  </w:style>
  <w:style w:type="character" w:customStyle="1" w:styleId="ListeParagrafChar">
    <w:name w:val="Liste Paragraf Char"/>
    <w:aliases w:val="içindekiler vb Char,p Char"/>
    <w:link w:val="ListeParagraf"/>
    <w:uiPriority w:val="34"/>
    <w:locked/>
    <w:rsid w:val="0023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GÜRHAN DURAN</dc:creator>
  <cp:keywords/>
  <dc:description/>
  <cp:lastModifiedBy>Elif GÜRHAN DURAN</cp:lastModifiedBy>
  <cp:revision>9</cp:revision>
  <dcterms:created xsi:type="dcterms:W3CDTF">2024-11-25T10:49:00Z</dcterms:created>
  <dcterms:modified xsi:type="dcterms:W3CDTF">2025-10-07T12:57:00Z</dcterms:modified>
</cp:coreProperties>
</file>