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038D2" w14:textId="7A917B9B" w:rsidR="00BD5680" w:rsidRPr="007555D5" w:rsidRDefault="00BD5680" w:rsidP="00BD5680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</w:pPr>
      <w:r w:rsidRPr="007555D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  <w:t xml:space="preserve">ÇAĞ </w:t>
      </w:r>
      <w:r w:rsidR="00F800F7" w:rsidRPr="007555D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  <w:t>ÜNİVERSİTESİ</w:t>
      </w:r>
    </w:p>
    <w:p w14:paraId="3D10CBB2" w14:textId="20EE745D" w:rsidR="00BD5680" w:rsidRPr="007555D5" w:rsidRDefault="00F800F7" w:rsidP="00BD5680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</w:pPr>
      <w:r w:rsidRPr="007555D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  <w:t>2022-2023 Akademik Yılı</w:t>
      </w:r>
    </w:p>
    <w:p w14:paraId="48634BB9" w14:textId="0346CDE1" w:rsidR="00BD5680" w:rsidRPr="007555D5" w:rsidRDefault="00BD5680" w:rsidP="00EC6F18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</w:pPr>
      <w:r w:rsidRPr="007555D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  <w:t xml:space="preserve"> </w:t>
      </w:r>
      <w:r w:rsidR="00F800F7" w:rsidRPr="007555D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tr-TR"/>
        </w:rPr>
        <w:t>ÖĞRENCİ ÇIKIŞ ANKETİ</w:t>
      </w:r>
    </w:p>
    <w:p w14:paraId="245CCCCE" w14:textId="6F80A7A6" w:rsidR="00D73573" w:rsidRPr="007555D5" w:rsidRDefault="00BD5680" w:rsidP="00D7357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7555D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tr-TR"/>
        </w:rPr>
        <w:t xml:space="preserve"> Bölüm adı: </w:t>
      </w:r>
      <w:r w:rsidR="00C43E57" w:rsidRPr="007555D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tr-TR"/>
        </w:rPr>
        <w:t>Bankacılık ve Sigortacılık</w:t>
      </w:r>
      <w:r w:rsidR="00F800F7" w:rsidRPr="007555D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tr-TR"/>
        </w:rPr>
        <w:t>, MYO</w:t>
      </w:r>
      <w:r w:rsidR="00D73573" w:rsidRPr="007555D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tr-TR"/>
        </w:rPr>
        <w:t xml:space="preserve">  </w:t>
      </w:r>
    </w:p>
    <w:p w14:paraId="1729B116" w14:textId="21C6AE74" w:rsidR="00D73573" w:rsidRPr="007555D5" w:rsidRDefault="00D73573" w:rsidP="00D735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7555D5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Kapsam: </w:t>
      </w:r>
      <w:r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Anket formunu toplam </w:t>
      </w:r>
      <w:r w:rsidR="009B715D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5</w:t>
      </w:r>
      <w:r w:rsidR="00FC6387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öğrenci</w:t>
      </w:r>
      <w:r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(</w:t>
      </w:r>
      <w:r w:rsidR="009B715D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5</w:t>
      </w:r>
      <w:r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Kadın) cevaplamıştır.</w:t>
      </w:r>
      <w:r w:rsidR="00DD1F31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DD1F31">
        <w:rPr>
          <w:rFonts w:ascii="Times New Roman" w:hAnsi="Times New Roman" w:cs="Times New Roman"/>
          <w:sz w:val="24"/>
          <w:szCs w:val="24"/>
          <w:lang w:val="tr-TR"/>
        </w:rPr>
        <w:t>Bankacılık ve Sigortacılık programında öğrenim gören ikinci sınıf öğrenci sayısı toplamda 15 kişi olmakla beraber çalışmaya katılım %33,33</w:t>
      </w:r>
      <w:r w:rsidR="002C5C28">
        <w:rPr>
          <w:rFonts w:ascii="Times New Roman" w:hAnsi="Times New Roman" w:cs="Times New Roman"/>
          <w:sz w:val="24"/>
          <w:szCs w:val="24"/>
          <w:lang w:val="tr-TR"/>
        </w:rPr>
        <w:t xml:space="preserve"> düzeyindedir</w:t>
      </w:r>
      <w:r w:rsidR="00DD1F31">
        <w:rPr>
          <w:rFonts w:ascii="Times New Roman" w:hAnsi="Times New Roman" w:cs="Times New Roman"/>
          <w:sz w:val="24"/>
          <w:szCs w:val="24"/>
          <w:lang w:val="tr-TR"/>
        </w:rPr>
        <w:t>.</w:t>
      </w:r>
      <w:r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Katılan </w:t>
      </w:r>
      <w:r w:rsidR="00FC6387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öğrencilerin </w:t>
      </w:r>
      <w:r w:rsidR="009B715D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3’ü</w:t>
      </w:r>
      <w:r w:rsidR="00FC6387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hariç olmak üzere </w:t>
      </w:r>
      <w:r w:rsidR="009B715D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2 </w:t>
      </w:r>
      <w:r w:rsidR="000C48AD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öğrencinin</w:t>
      </w:r>
      <w:r w:rsidR="00FC6387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staj deneyimi mevcuttur.  Öğrencilerin </w:t>
      </w:r>
      <w:r w:rsidR="009B715D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biri</w:t>
      </w:r>
      <w:r w:rsidR="00EC6F18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0C48AD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1980-1994 arası doğumlu iken diğer öğrenciler 1995 ve üzeri doğumludur.</w:t>
      </w:r>
      <w:r w:rsidR="00EC6F18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</w:p>
    <w:p w14:paraId="357B5FF3" w14:textId="3E32F42B" w:rsidR="00D73573" w:rsidRPr="007555D5" w:rsidRDefault="009B715D" w:rsidP="00D735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7555D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tr-TR"/>
        </w:rPr>
        <w:t>Bankacılık ve Sigortacılık programı</w:t>
      </w:r>
      <w:r w:rsidR="00D73573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FC6387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için hedeflenen</w:t>
      </w:r>
      <w:r w:rsidR="00D73573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öğrenme çıktılarına ilişkin görüşler ve ortalamaları (</w:t>
      </w:r>
      <w:r w:rsidR="00E913FA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7</w:t>
      </w:r>
      <w:r w:rsidR="00475393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ifade/soru) Tablo 1</w:t>
      </w:r>
      <w:r w:rsidR="00D73573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’de; öğrenme </w:t>
      </w:r>
      <w:r w:rsidR="00FC6387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ortamına ilişkin görüş</w:t>
      </w:r>
      <w:r w:rsidR="00475393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ve öneriler (13 ifade) tablo 2</w:t>
      </w:r>
      <w:r w:rsidR="00D73573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’de yer almaktadır. Anket formund</w:t>
      </w:r>
      <w:r w:rsidR="00B6675F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a üçüncü bölümde ise toplam beş</w:t>
      </w:r>
      <w:r w:rsidR="00D73573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adet açık uçlu soru bulunmaktadır. Bu sorular arasında, son sınıf </w:t>
      </w:r>
      <w:r w:rsidR="00FC6387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öğrencilerinin eğitim</w:t>
      </w:r>
      <w:r w:rsidR="00D73573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gördükleri bölüme ilişkin memnun ve</w:t>
      </w:r>
      <w:r w:rsidR="00FC6387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D73573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memnuniyetsiz oldukları alan ve konular, tekrar öğrenim gördükleri bölüme başlama şansları durumundaki görüşleri</w:t>
      </w:r>
      <w:r w:rsidR="00B6675F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, eğitim gördükleri bölümlerin pandemi sürecindeki eğitim ve öğretim faaliyetlerine ilişkin görüşleri</w:t>
      </w:r>
      <w:r w:rsidR="00D73573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ile var ise belirtmek istedikleri diğer görüşleri sorulmuş ve bu sorulara ilişkin </w:t>
      </w:r>
      <w:r w:rsidR="00FC6387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öğrenci görüşlerinin</w:t>
      </w:r>
      <w:r w:rsidR="00475393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FC6387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özeti Tablo</w:t>
      </w:r>
      <w:r w:rsidR="00475393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3’de</w:t>
      </w:r>
      <w:r w:rsidR="00D73573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yer almıştır.</w:t>
      </w:r>
    </w:p>
    <w:p w14:paraId="591CC7A4" w14:textId="382F73E4" w:rsidR="00AB7336" w:rsidRPr="007555D5" w:rsidRDefault="00475393" w:rsidP="00D7357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Tablo 1</w:t>
      </w:r>
      <w:r w:rsidR="00D73573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B61606" w:rsidRPr="007555D5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Program Çıktıları</w:t>
      </w:r>
      <w:r w:rsidR="00FC6387" w:rsidRPr="007555D5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 (</w:t>
      </w:r>
      <w:r w:rsidR="00C43E57" w:rsidRPr="007555D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tr-TR"/>
        </w:rPr>
        <w:t>Bankacılık ve Sigortacılık Programı</w:t>
      </w:r>
      <w:r w:rsidR="00D73573" w:rsidRPr="007555D5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)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109"/>
        <w:gridCol w:w="5684"/>
        <w:gridCol w:w="624"/>
        <w:gridCol w:w="994"/>
        <w:gridCol w:w="877"/>
      </w:tblGrid>
      <w:tr w:rsidR="007555D5" w:rsidRPr="007555D5" w14:paraId="79921B41" w14:textId="77777777" w:rsidTr="00C43E57">
        <w:tc>
          <w:tcPr>
            <w:tcW w:w="597" w:type="pct"/>
            <w:vAlign w:val="center"/>
          </w:tcPr>
          <w:p w14:paraId="4023BAAA" w14:textId="06D05C8B" w:rsidR="00F537CA" w:rsidRPr="007555D5" w:rsidRDefault="00B61606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7555D5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Program Çıktısı No.</w:t>
            </w:r>
          </w:p>
        </w:tc>
        <w:tc>
          <w:tcPr>
            <w:tcW w:w="3060" w:type="pct"/>
            <w:vAlign w:val="center"/>
          </w:tcPr>
          <w:p w14:paraId="35BCEEAA" w14:textId="4EFC2F6C" w:rsidR="00F537CA" w:rsidRPr="007555D5" w:rsidRDefault="00B61606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7555D5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Program Çıktıları</w:t>
            </w:r>
          </w:p>
        </w:tc>
        <w:tc>
          <w:tcPr>
            <w:tcW w:w="336" w:type="pct"/>
            <w:vAlign w:val="center"/>
          </w:tcPr>
          <w:p w14:paraId="2C1CC09B" w14:textId="77777777" w:rsidR="00F537CA" w:rsidRPr="007555D5" w:rsidRDefault="00F537CA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7555D5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n</w:t>
            </w:r>
          </w:p>
        </w:tc>
        <w:tc>
          <w:tcPr>
            <w:tcW w:w="535" w:type="pct"/>
            <w:vAlign w:val="center"/>
          </w:tcPr>
          <w:p w14:paraId="6615D3C5" w14:textId="583D2A95" w:rsidR="00F537CA" w:rsidRPr="007555D5" w:rsidRDefault="009B5585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7555D5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Ortalama</w:t>
            </w:r>
          </w:p>
        </w:tc>
        <w:tc>
          <w:tcPr>
            <w:tcW w:w="472" w:type="pct"/>
            <w:vAlign w:val="center"/>
          </w:tcPr>
          <w:p w14:paraId="6E6A281F" w14:textId="64DC7039" w:rsidR="00F537CA" w:rsidRPr="007555D5" w:rsidRDefault="009B5585" w:rsidP="000A2604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7555D5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Yüzde</w:t>
            </w:r>
            <w:r w:rsidR="00F537CA" w:rsidRPr="007555D5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 xml:space="preserve"> (%)</w:t>
            </w:r>
          </w:p>
        </w:tc>
      </w:tr>
      <w:tr w:rsidR="007555D5" w:rsidRPr="007555D5" w14:paraId="7817EAE7" w14:textId="77777777" w:rsidTr="009B715D">
        <w:tc>
          <w:tcPr>
            <w:tcW w:w="597" w:type="pct"/>
            <w:vAlign w:val="center"/>
          </w:tcPr>
          <w:p w14:paraId="752C7F53" w14:textId="77777777" w:rsidR="00C43E57" w:rsidRPr="007555D5" w:rsidRDefault="00C43E57" w:rsidP="00C43E5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555D5"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3060" w:type="pct"/>
            <w:vAlign w:val="center"/>
          </w:tcPr>
          <w:p w14:paraId="471D96F3" w14:textId="044BB9FB" w:rsidR="00C43E57" w:rsidRPr="007555D5" w:rsidRDefault="00C43E57" w:rsidP="00C43E57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7555D5">
              <w:rPr>
                <w:rFonts w:ascii="Times New Roman" w:hAnsi="Times New Roman"/>
                <w:bCs/>
                <w:color w:val="000000" w:themeColor="text1"/>
              </w:rPr>
              <w:t>Öğrenciler işletme, ekonomi, hukuk, matematik, istatistik, muhasebe ve finans dersleri gibi finansal yönetim ile ilgili temel ve ilgili teorik ve uygulamalı bilgileri tanıyabilecektir.</w:t>
            </w:r>
          </w:p>
        </w:tc>
        <w:tc>
          <w:tcPr>
            <w:tcW w:w="336" w:type="pct"/>
            <w:vAlign w:val="center"/>
          </w:tcPr>
          <w:p w14:paraId="5534D599" w14:textId="76670F3C" w:rsidR="00C43E57" w:rsidRPr="007555D5" w:rsidRDefault="00C43E57" w:rsidP="009B715D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7555D5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535" w:type="pct"/>
            <w:vAlign w:val="center"/>
          </w:tcPr>
          <w:p w14:paraId="66F328F2" w14:textId="41F850DF" w:rsidR="00C43E57" w:rsidRPr="007555D5" w:rsidRDefault="00C43E57" w:rsidP="009B715D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7555D5">
              <w:rPr>
                <w:rFonts w:ascii="Times New Roman" w:hAnsi="Times New Roman"/>
                <w:color w:val="000000" w:themeColor="text1"/>
              </w:rPr>
              <w:t>8,40</w:t>
            </w:r>
          </w:p>
        </w:tc>
        <w:tc>
          <w:tcPr>
            <w:tcW w:w="472" w:type="pct"/>
            <w:vAlign w:val="center"/>
          </w:tcPr>
          <w:p w14:paraId="1976A801" w14:textId="4C268D88" w:rsidR="00C43E57" w:rsidRPr="007555D5" w:rsidRDefault="00C43E57" w:rsidP="00C43E57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7555D5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84</w:t>
            </w:r>
            <w:r w:rsidR="00E913FA" w:rsidRPr="007555D5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,0</w:t>
            </w:r>
          </w:p>
        </w:tc>
      </w:tr>
      <w:tr w:rsidR="007555D5" w:rsidRPr="007555D5" w14:paraId="2FE60BA5" w14:textId="77777777" w:rsidTr="009B715D">
        <w:tc>
          <w:tcPr>
            <w:tcW w:w="597" w:type="pct"/>
            <w:vAlign w:val="center"/>
          </w:tcPr>
          <w:p w14:paraId="489B9721" w14:textId="77777777" w:rsidR="00C43E57" w:rsidRPr="007555D5" w:rsidRDefault="00C43E57" w:rsidP="00C43E5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555D5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3060" w:type="pct"/>
            <w:vAlign w:val="center"/>
          </w:tcPr>
          <w:p w14:paraId="1E5E6535" w14:textId="31EE8761" w:rsidR="00C43E57" w:rsidRPr="007555D5" w:rsidRDefault="00C43E57" w:rsidP="00C43E57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7555D5">
              <w:rPr>
                <w:rFonts w:ascii="Times New Roman" w:hAnsi="Times New Roman"/>
                <w:bCs/>
                <w:color w:val="000000" w:themeColor="text1"/>
              </w:rPr>
              <w:t>Öğrenciler, bankacılık ve sigortacılık ile ilgili temel ve ilgili bilgileri kullanabilecektir.</w:t>
            </w:r>
          </w:p>
        </w:tc>
        <w:tc>
          <w:tcPr>
            <w:tcW w:w="336" w:type="pct"/>
            <w:vAlign w:val="center"/>
          </w:tcPr>
          <w:p w14:paraId="265D65C4" w14:textId="70FB9E81" w:rsidR="00C43E57" w:rsidRPr="007555D5" w:rsidRDefault="00C43E57" w:rsidP="009B715D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7555D5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535" w:type="pct"/>
            <w:vAlign w:val="center"/>
          </w:tcPr>
          <w:p w14:paraId="6815DCED" w14:textId="4CD2AD55" w:rsidR="00C43E57" w:rsidRPr="007555D5" w:rsidRDefault="00C43E57" w:rsidP="009B715D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7555D5">
              <w:rPr>
                <w:rFonts w:ascii="Times New Roman" w:hAnsi="Times New Roman"/>
                <w:color w:val="000000" w:themeColor="text1"/>
              </w:rPr>
              <w:t>8,20</w:t>
            </w:r>
          </w:p>
        </w:tc>
        <w:tc>
          <w:tcPr>
            <w:tcW w:w="472" w:type="pct"/>
            <w:vAlign w:val="center"/>
          </w:tcPr>
          <w:p w14:paraId="29C9704D" w14:textId="5B9E2026" w:rsidR="00C43E57" w:rsidRPr="007555D5" w:rsidRDefault="00C43E57" w:rsidP="00C43E57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7555D5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82</w:t>
            </w:r>
            <w:r w:rsidR="00E913FA" w:rsidRPr="007555D5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,0</w:t>
            </w:r>
          </w:p>
        </w:tc>
      </w:tr>
      <w:tr w:rsidR="007555D5" w:rsidRPr="007555D5" w14:paraId="0A405CDB" w14:textId="77777777" w:rsidTr="009B715D">
        <w:tc>
          <w:tcPr>
            <w:tcW w:w="597" w:type="pct"/>
            <w:vAlign w:val="center"/>
          </w:tcPr>
          <w:p w14:paraId="27599255" w14:textId="77777777" w:rsidR="00C43E57" w:rsidRPr="007555D5" w:rsidRDefault="00C43E57" w:rsidP="00C43E5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555D5">
              <w:rPr>
                <w:rFonts w:ascii="Times New Roman" w:hAnsi="Times New Roman"/>
                <w:b/>
                <w:color w:val="000000" w:themeColor="text1"/>
              </w:rPr>
              <w:t>3</w:t>
            </w:r>
          </w:p>
        </w:tc>
        <w:tc>
          <w:tcPr>
            <w:tcW w:w="3060" w:type="pct"/>
            <w:vAlign w:val="center"/>
          </w:tcPr>
          <w:p w14:paraId="3217F890" w14:textId="3AEEF4B4" w:rsidR="00C43E57" w:rsidRPr="007555D5" w:rsidRDefault="00C43E57" w:rsidP="00C43E57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 w:themeColor="text1"/>
                <w:lang w:val="tr-TR"/>
              </w:rPr>
            </w:pPr>
            <w:r w:rsidRPr="007555D5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Öğrenciler, temel ve teknik bilimsel altyapıyı kullanarak olası sorunlara yaratıcı ve yenilikçi çözümler önerebilecek, paydaşlarla ortaklık kurabilecek ve gerektiğinde bir ekip oluşturabilecek ve sorumluluk alabileceklerdir.</w:t>
            </w:r>
          </w:p>
        </w:tc>
        <w:tc>
          <w:tcPr>
            <w:tcW w:w="336" w:type="pct"/>
            <w:vAlign w:val="center"/>
          </w:tcPr>
          <w:p w14:paraId="5CA7784A" w14:textId="2F4F7392" w:rsidR="00C43E57" w:rsidRPr="007555D5" w:rsidRDefault="00C43E57" w:rsidP="009B715D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7555D5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5</w:t>
            </w:r>
          </w:p>
        </w:tc>
        <w:tc>
          <w:tcPr>
            <w:tcW w:w="535" w:type="pct"/>
            <w:vAlign w:val="center"/>
          </w:tcPr>
          <w:p w14:paraId="1FBE8FC4" w14:textId="49507291" w:rsidR="00C43E57" w:rsidRPr="007555D5" w:rsidRDefault="00C43E57" w:rsidP="009B715D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7555D5">
              <w:rPr>
                <w:rFonts w:ascii="Times New Roman" w:hAnsi="Times New Roman"/>
                <w:color w:val="000000" w:themeColor="text1"/>
              </w:rPr>
              <w:t>8,60</w:t>
            </w:r>
          </w:p>
        </w:tc>
        <w:tc>
          <w:tcPr>
            <w:tcW w:w="472" w:type="pct"/>
            <w:vAlign w:val="center"/>
          </w:tcPr>
          <w:p w14:paraId="6C9E26B8" w14:textId="3EC9A4EC" w:rsidR="00C43E57" w:rsidRPr="007555D5" w:rsidRDefault="00C43E57" w:rsidP="00C43E57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7555D5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86</w:t>
            </w:r>
            <w:r w:rsidR="00E913FA" w:rsidRPr="007555D5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,0</w:t>
            </w:r>
          </w:p>
        </w:tc>
      </w:tr>
      <w:tr w:rsidR="007555D5" w:rsidRPr="007555D5" w14:paraId="125F459F" w14:textId="77777777" w:rsidTr="009B715D">
        <w:tc>
          <w:tcPr>
            <w:tcW w:w="597" w:type="pct"/>
            <w:vAlign w:val="center"/>
          </w:tcPr>
          <w:p w14:paraId="6236E259" w14:textId="77777777" w:rsidR="00C43E57" w:rsidRPr="007555D5" w:rsidRDefault="00C43E57" w:rsidP="00C43E5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6E965149" w14:textId="77777777" w:rsidR="00C43E57" w:rsidRPr="007555D5" w:rsidRDefault="00C43E57" w:rsidP="00C43E5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7B95F60" w14:textId="77777777" w:rsidR="00C43E57" w:rsidRPr="007555D5" w:rsidRDefault="00C43E57" w:rsidP="00C43E5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3D8C911C" w14:textId="77777777" w:rsidR="00C43E57" w:rsidRPr="007555D5" w:rsidRDefault="00C43E57" w:rsidP="00C43E5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555D5">
              <w:rPr>
                <w:rFonts w:ascii="Times New Roman" w:hAnsi="Times New Roman"/>
                <w:b/>
                <w:color w:val="000000" w:themeColor="text1"/>
              </w:rPr>
              <w:t>4</w:t>
            </w:r>
          </w:p>
        </w:tc>
        <w:tc>
          <w:tcPr>
            <w:tcW w:w="3060" w:type="pct"/>
            <w:vAlign w:val="center"/>
          </w:tcPr>
          <w:p w14:paraId="54A7B198" w14:textId="1EEE9BF9" w:rsidR="00C43E57" w:rsidRPr="007555D5" w:rsidRDefault="00C43E57" w:rsidP="00C43E57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7555D5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Öğrenciler, bankacılık ve sigortacılık ile ilgili bilgilere nasıl ulaşacaklarını ve araştıracaklarını geliştirerek becerilerini hayata nasıl uygulayacaklarını öğrenebilecekler, mevcut verileri seçebilecek, anlamlandıracak, yorumlayabilecek ve kullanabilecektir.</w:t>
            </w:r>
          </w:p>
        </w:tc>
        <w:tc>
          <w:tcPr>
            <w:tcW w:w="336" w:type="pct"/>
            <w:vAlign w:val="center"/>
          </w:tcPr>
          <w:p w14:paraId="4054E691" w14:textId="6C175FD4" w:rsidR="00C43E57" w:rsidRPr="007555D5" w:rsidRDefault="00C43E57" w:rsidP="009B715D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7555D5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5</w:t>
            </w:r>
          </w:p>
        </w:tc>
        <w:tc>
          <w:tcPr>
            <w:tcW w:w="535" w:type="pct"/>
            <w:vAlign w:val="center"/>
          </w:tcPr>
          <w:p w14:paraId="141E140F" w14:textId="2E47F29A" w:rsidR="00C43E57" w:rsidRPr="007555D5" w:rsidRDefault="00C43E57" w:rsidP="009B715D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7555D5">
              <w:rPr>
                <w:rFonts w:ascii="Times New Roman" w:hAnsi="Times New Roman"/>
                <w:color w:val="000000" w:themeColor="text1"/>
              </w:rPr>
              <w:t>8,40</w:t>
            </w:r>
          </w:p>
        </w:tc>
        <w:tc>
          <w:tcPr>
            <w:tcW w:w="472" w:type="pct"/>
            <w:vAlign w:val="center"/>
          </w:tcPr>
          <w:p w14:paraId="60F42C95" w14:textId="2BB7C6BF" w:rsidR="00C43E57" w:rsidRPr="007555D5" w:rsidRDefault="00C43E57" w:rsidP="00C43E57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7555D5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84</w:t>
            </w:r>
            <w:r w:rsidR="00E913FA" w:rsidRPr="007555D5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,0</w:t>
            </w:r>
          </w:p>
        </w:tc>
      </w:tr>
      <w:tr w:rsidR="007555D5" w:rsidRPr="007555D5" w14:paraId="2FFE8E7C" w14:textId="77777777" w:rsidTr="009B715D">
        <w:tc>
          <w:tcPr>
            <w:tcW w:w="597" w:type="pct"/>
            <w:vAlign w:val="center"/>
          </w:tcPr>
          <w:p w14:paraId="6BFE910B" w14:textId="77777777" w:rsidR="00C43E57" w:rsidRPr="007555D5" w:rsidRDefault="00C43E57" w:rsidP="00C43E5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555D5">
              <w:rPr>
                <w:rFonts w:ascii="Times New Roman" w:hAnsi="Times New Roman"/>
                <w:b/>
                <w:color w:val="000000" w:themeColor="text1"/>
              </w:rPr>
              <w:t>5</w:t>
            </w:r>
          </w:p>
        </w:tc>
        <w:tc>
          <w:tcPr>
            <w:tcW w:w="3060" w:type="pct"/>
            <w:vAlign w:val="center"/>
          </w:tcPr>
          <w:p w14:paraId="033A686B" w14:textId="18487984" w:rsidR="00C43E57" w:rsidRPr="007555D5" w:rsidRDefault="00C43E57" w:rsidP="00C43E57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7555D5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Öğrenciler, meslektaşlarına belirtilen düzeyde bankacılık &amp; sigortacılık ile ilgili sözlü ve yazılı bilgi sunabilecektir.</w:t>
            </w:r>
          </w:p>
        </w:tc>
        <w:tc>
          <w:tcPr>
            <w:tcW w:w="336" w:type="pct"/>
            <w:vAlign w:val="center"/>
          </w:tcPr>
          <w:p w14:paraId="72C48911" w14:textId="1F4D0717" w:rsidR="00C43E57" w:rsidRPr="007555D5" w:rsidRDefault="00C43E57" w:rsidP="009B715D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7555D5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535" w:type="pct"/>
            <w:vAlign w:val="center"/>
          </w:tcPr>
          <w:p w14:paraId="78CB33DB" w14:textId="1932D431" w:rsidR="00C43E57" w:rsidRPr="007555D5" w:rsidRDefault="00C43E57" w:rsidP="009B715D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7555D5">
              <w:rPr>
                <w:rFonts w:ascii="Times New Roman" w:hAnsi="Times New Roman"/>
                <w:color w:val="000000" w:themeColor="text1"/>
              </w:rPr>
              <w:t>7,80</w:t>
            </w:r>
          </w:p>
        </w:tc>
        <w:tc>
          <w:tcPr>
            <w:tcW w:w="472" w:type="pct"/>
            <w:vAlign w:val="center"/>
          </w:tcPr>
          <w:p w14:paraId="269151DF" w14:textId="593F08A4" w:rsidR="00C43E57" w:rsidRPr="007555D5" w:rsidRDefault="00C43E57" w:rsidP="00C43E57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7555D5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78</w:t>
            </w:r>
            <w:r w:rsidR="00E913FA" w:rsidRPr="007555D5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,0</w:t>
            </w:r>
          </w:p>
        </w:tc>
      </w:tr>
      <w:tr w:rsidR="007555D5" w:rsidRPr="007555D5" w14:paraId="7C361D80" w14:textId="77777777" w:rsidTr="009B715D">
        <w:tc>
          <w:tcPr>
            <w:tcW w:w="597" w:type="pct"/>
            <w:vAlign w:val="center"/>
          </w:tcPr>
          <w:p w14:paraId="53AD06E8" w14:textId="77777777" w:rsidR="00C43E57" w:rsidRPr="007555D5" w:rsidRDefault="00C43E57" w:rsidP="00C43E5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555D5"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3060" w:type="pct"/>
            <w:vAlign w:val="center"/>
          </w:tcPr>
          <w:p w14:paraId="2FEEE6A5" w14:textId="451B0344" w:rsidR="00C43E57" w:rsidRPr="007555D5" w:rsidRDefault="00C43E57" w:rsidP="00C43E57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bookmarkStart w:id="0" w:name="_Hlk137642301"/>
            <w:r w:rsidRPr="007555D5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Öğrenciler kamu, özel ve medya kaynaklarından gelen bilgi ve verileri takip edebilecektir.</w:t>
            </w:r>
            <w:bookmarkEnd w:id="0"/>
          </w:p>
        </w:tc>
        <w:tc>
          <w:tcPr>
            <w:tcW w:w="336" w:type="pct"/>
            <w:vAlign w:val="center"/>
          </w:tcPr>
          <w:p w14:paraId="7B132526" w14:textId="04919A7D" w:rsidR="00C43E57" w:rsidRPr="007555D5" w:rsidRDefault="00C43E57" w:rsidP="009B715D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7555D5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535" w:type="pct"/>
            <w:vAlign w:val="center"/>
          </w:tcPr>
          <w:p w14:paraId="28852183" w14:textId="4E0311E6" w:rsidR="00C43E57" w:rsidRPr="007555D5" w:rsidRDefault="00C43E57" w:rsidP="009B715D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7555D5">
              <w:rPr>
                <w:rFonts w:ascii="Times New Roman" w:hAnsi="Times New Roman"/>
                <w:color w:val="000000" w:themeColor="text1"/>
              </w:rPr>
              <w:t>9,20</w:t>
            </w:r>
          </w:p>
        </w:tc>
        <w:tc>
          <w:tcPr>
            <w:tcW w:w="472" w:type="pct"/>
            <w:vAlign w:val="center"/>
          </w:tcPr>
          <w:p w14:paraId="16635810" w14:textId="1B31658F" w:rsidR="00C43E57" w:rsidRPr="007555D5" w:rsidRDefault="00C43E57" w:rsidP="00C43E57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7555D5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92</w:t>
            </w:r>
            <w:r w:rsidR="00E913FA" w:rsidRPr="007555D5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,0</w:t>
            </w:r>
          </w:p>
        </w:tc>
      </w:tr>
      <w:tr w:rsidR="007555D5" w:rsidRPr="007555D5" w14:paraId="4C16CBD9" w14:textId="77777777" w:rsidTr="009B715D">
        <w:tc>
          <w:tcPr>
            <w:tcW w:w="597" w:type="pct"/>
            <w:vAlign w:val="center"/>
          </w:tcPr>
          <w:p w14:paraId="4316A07A" w14:textId="77777777" w:rsidR="00C43E57" w:rsidRPr="007555D5" w:rsidRDefault="00C43E57" w:rsidP="00C43E5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555D5">
              <w:rPr>
                <w:rFonts w:ascii="Times New Roman" w:hAnsi="Times New Roman"/>
                <w:b/>
                <w:color w:val="000000" w:themeColor="text1"/>
              </w:rPr>
              <w:t>7</w:t>
            </w:r>
          </w:p>
        </w:tc>
        <w:tc>
          <w:tcPr>
            <w:tcW w:w="3060" w:type="pct"/>
            <w:vAlign w:val="center"/>
          </w:tcPr>
          <w:p w14:paraId="525552F7" w14:textId="0EB64689" w:rsidR="00C43E57" w:rsidRPr="007555D5" w:rsidRDefault="00C43E57" w:rsidP="00C43E57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lang w:val="tr-TR"/>
              </w:rPr>
            </w:pPr>
            <w:r w:rsidRPr="007555D5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Öğrenciler, bankacılık ve sigortacılık ile ilgili verilerin elde edilmesi, kullanılması, uygulanması ve duyurulması aşamalarında sosyal, bilimsel, kültürel ve etik değer ve kriterlere güvenebilecek ve bunlara uygun davranabilecektir.</w:t>
            </w:r>
          </w:p>
        </w:tc>
        <w:tc>
          <w:tcPr>
            <w:tcW w:w="336" w:type="pct"/>
            <w:vAlign w:val="center"/>
          </w:tcPr>
          <w:p w14:paraId="2E5CBD26" w14:textId="1ADD970B" w:rsidR="00C43E57" w:rsidRPr="007555D5" w:rsidRDefault="00C43E57" w:rsidP="009B715D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7555D5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535" w:type="pct"/>
            <w:vAlign w:val="center"/>
          </w:tcPr>
          <w:p w14:paraId="36D13877" w14:textId="66D283F0" w:rsidR="00C43E57" w:rsidRPr="007555D5" w:rsidRDefault="00C43E57" w:rsidP="009B715D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7555D5">
              <w:rPr>
                <w:rFonts w:ascii="Times New Roman" w:hAnsi="Times New Roman"/>
                <w:color w:val="000000" w:themeColor="text1"/>
              </w:rPr>
              <w:t>9,40</w:t>
            </w:r>
          </w:p>
        </w:tc>
        <w:tc>
          <w:tcPr>
            <w:tcW w:w="472" w:type="pct"/>
            <w:vAlign w:val="center"/>
          </w:tcPr>
          <w:p w14:paraId="13700905" w14:textId="37EFC129" w:rsidR="00C43E57" w:rsidRPr="007555D5" w:rsidRDefault="00C43E57" w:rsidP="00C43E57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7555D5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94</w:t>
            </w:r>
            <w:r w:rsidR="00E913FA" w:rsidRPr="007555D5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,0</w:t>
            </w:r>
          </w:p>
        </w:tc>
      </w:tr>
      <w:tr w:rsidR="00C43E57" w:rsidRPr="007555D5" w14:paraId="0E54991D" w14:textId="77777777" w:rsidTr="009B715D">
        <w:tc>
          <w:tcPr>
            <w:tcW w:w="3657" w:type="pct"/>
            <w:gridSpan w:val="2"/>
            <w:vAlign w:val="center"/>
          </w:tcPr>
          <w:p w14:paraId="3691BFC9" w14:textId="7EC2D7D4" w:rsidR="00C43E57" w:rsidRPr="007555D5" w:rsidRDefault="00C43E57" w:rsidP="00C43E57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7555D5">
              <w:rPr>
                <w:rFonts w:ascii="Times New Roman" w:hAnsi="Times New Roman"/>
                <w:b/>
                <w:color w:val="000000" w:themeColor="text1"/>
              </w:rPr>
              <w:t>Genel ortalama</w:t>
            </w:r>
          </w:p>
        </w:tc>
        <w:tc>
          <w:tcPr>
            <w:tcW w:w="336" w:type="pct"/>
            <w:vAlign w:val="center"/>
          </w:tcPr>
          <w:p w14:paraId="107756C4" w14:textId="77777777" w:rsidR="00C43E57" w:rsidRPr="007555D5" w:rsidRDefault="00C43E57" w:rsidP="009B715D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</w:p>
        </w:tc>
        <w:tc>
          <w:tcPr>
            <w:tcW w:w="535" w:type="pct"/>
            <w:vAlign w:val="center"/>
          </w:tcPr>
          <w:p w14:paraId="4D486163" w14:textId="117909B8" w:rsidR="00C43E57" w:rsidRPr="007555D5" w:rsidRDefault="00C43E57" w:rsidP="009B715D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7555D5">
              <w:rPr>
                <w:rFonts w:ascii="Times New Roman" w:hAnsi="Times New Roman"/>
                <w:color w:val="000000" w:themeColor="text1"/>
              </w:rPr>
              <w:t>8,57</w:t>
            </w:r>
          </w:p>
        </w:tc>
        <w:tc>
          <w:tcPr>
            <w:tcW w:w="472" w:type="pct"/>
          </w:tcPr>
          <w:p w14:paraId="6CCCF80A" w14:textId="43F47188" w:rsidR="00C43E57" w:rsidRPr="007555D5" w:rsidRDefault="00C43E57" w:rsidP="00C43E57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7555D5">
              <w:rPr>
                <w:rFonts w:ascii="Times New Roman" w:hAnsi="Times New Roman"/>
                <w:color w:val="000000" w:themeColor="text1"/>
              </w:rPr>
              <w:t>85,7</w:t>
            </w:r>
          </w:p>
        </w:tc>
      </w:tr>
    </w:tbl>
    <w:p w14:paraId="5E829C37" w14:textId="77777777" w:rsidR="00D73573" w:rsidRPr="007555D5" w:rsidRDefault="00D73573" w:rsidP="00D7357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14:paraId="19E6B63B" w14:textId="13B76FF5" w:rsidR="00D73573" w:rsidRPr="007555D5" w:rsidRDefault="009958D9" w:rsidP="00D735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Bankacılık ve Sigortacılık</w:t>
      </w:r>
      <w:r w:rsidR="00E24EA7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programı </w:t>
      </w:r>
      <w:r w:rsidR="00931D26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öğrencilerinin öğrenme or</w:t>
      </w:r>
      <w:r w:rsidR="00820736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tamına ilişkin görüşleri tablo 1</w:t>
      </w:r>
      <w:r w:rsidR="00931D26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’de yer almaktadır. Genel olarak </w:t>
      </w:r>
      <w:r w:rsidR="00F537CA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öğrenme hedeflerine ilişkin belirtilen </w:t>
      </w:r>
      <w:r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yedi</w:t>
      </w:r>
      <w:r w:rsidR="00F537CA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kriter</w:t>
      </w:r>
      <w:r w:rsidR="00471490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l</w:t>
      </w:r>
      <w:r w:rsidR="00F537CA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e ilgili görüşleri incelendiğinde </w:t>
      </w:r>
      <w:r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tüm program çıktıları</w:t>
      </w:r>
      <w:r w:rsidR="00F537CA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için</w:t>
      </w:r>
      <w:r w:rsidR="00E913FA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hedeflenen oranın (%70) </w:t>
      </w:r>
      <w:r w:rsidR="00F537CA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FC6387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üstünde olduğu görülmüştür</w:t>
      </w:r>
      <w:r w:rsidR="00931D26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.</w:t>
      </w:r>
      <w:r w:rsidR="00F537CA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931D26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En </w:t>
      </w:r>
      <w:r w:rsidR="00FC6387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yüksek puana</w:t>
      </w:r>
      <w:r w:rsidR="00931D26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sahip olan </w:t>
      </w:r>
      <w:r w:rsidR="00E24EA7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program</w:t>
      </w:r>
      <w:r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çıktısı altıncı program çıktısı “Öğrenciler </w:t>
      </w:r>
      <w:r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lastRenderedPageBreak/>
        <w:t>kamu, özel ve medya kaynaklarından gelen bilgi ve verileri takip edebilecektir.”</w:t>
      </w:r>
      <w:r w:rsidR="007F4157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(%92)</w:t>
      </w:r>
      <w:r w:rsidR="00E24EA7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. En düşük puana sahip program çıktısı ise </w:t>
      </w:r>
      <w:r w:rsidR="007F4157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ikinci</w:t>
      </w:r>
      <w:r w:rsidR="00E24EA7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program çıktısı “</w:t>
      </w:r>
      <w:r w:rsidR="007F4157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Öğrenciler, bankacılık ve sigortacılık ile ilgili temel ve ilgili bilgileri kullanabilecektir</w:t>
      </w:r>
      <w:r w:rsidR="00E24EA7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”</w:t>
      </w:r>
      <w:r w:rsidR="007F4157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(%82). Genel ortalamaya bakıldığında ise %85 düzeyindedir.</w:t>
      </w:r>
    </w:p>
    <w:p w14:paraId="42E9ABAF" w14:textId="562E1F30" w:rsidR="00D73573" w:rsidRPr="007555D5" w:rsidRDefault="00475393" w:rsidP="00D7357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7555D5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Tablo 2</w:t>
      </w:r>
      <w:r w:rsidR="000A2604" w:rsidRPr="007555D5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.</w:t>
      </w:r>
      <w:r w:rsidR="00D73573" w:rsidRPr="007555D5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 Öğrenme Ortamına İlişkin Görüşler (</w:t>
      </w:r>
      <w:r w:rsidR="000F1F68" w:rsidRPr="007555D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tr-TR"/>
        </w:rPr>
        <w:t>Bankacılık ve Sigortacılık</w:t>
      </w:r>
      <w:r w:rsidR="000A2604" w:rsidRPr="007555D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tr-TR"/>
        </w:rPr>
        <w:t xml:space="preserve"> Programı</w:t>
      </w:r>
      <w:r w:rsidR="00D73573" w:rsidRPr="007555D5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66"/>
        <w:gridCol w:w="6275"/>
        <w:gridCol w:w="416"/>
        <w:gridCol w:w="1050"/>
        <w:gridCol w:w="1081"/>
      </w:tblGrid>
      <w:tr w:rsidR="007555D5" w:rsidRPr="007555D5" w14:paraId="10FEEDAD" w14:textId="77777777" w:rsidTr="00C43E57">
        <w:trPr>
          <w:trHeight w:val="461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1F89" w14:textId="77777777" w:rsidR="00D73573" w:rsidRPr="007555D5" w:rsidRDefault="00D73573" w:rsidP="000A26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7EC5" w14:textId="4DF85C9D" w:rsidR="00D73573" w:rsidRPr="007555D5" w:rsidRDefault="00D73573" w:rsidP="000A26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Değerlendirme Kriterler</w:t>
            </w:r>
            <w:r w:rsidR="003A03E4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i</w:t>
            </w:r>
          </w:p>
          <w:p w14:paraId="4EC627A7" w14:textId="77777777" w:rsidR="00D73573" w:rsidRPr="007555D5" w:rsidRDefault="00D73573" w:rsidP="000A26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1493" w14:textId="77777777" w:rsidR="00D73573" w:rsidRPr="007555D5" w:rsidRDefault="00D73573" w:rsidP="000A26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1C40" w14:textId="5D7191F3" w:rsidR="00D73573" w:rsidRPr="007555D5" w:rsidRDefault="008948BB" w:rsidP="000A26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Ortalama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9CB7" w14:textId="0A14DEF7" w:rsidR="00D73573" w:rsidRPr="007555D5" w:rsidRDefault="008948BB" w:rsidP="000A260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Yüzde </w:t>
            </w:r>
            <w:r w:rsidR="00D73573" w:rsidRPr="007555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(%)</w:t>
            </w:r>
          </w:p>
        </w:tc>
      </w:tr>
      <w:tr w:rsidR="007555D5" w:rsidRPr="007555D5" w14:paraId="672EC8AD" w14:textId="77777777" w:rsidTr="009B715D">
        <w:trPr>
          <w:trHeight w:val="49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CD7B" w14:textId="77777777" w:rsidR="00C43E57" w:rsidRPr="007555D5" w:rsidRDefault="00C43E57" w:rsidP="00C43E5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7555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1.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B40A" w14:textId="3C39C691" w:rsidR="00C43E57" w:rsidRPr="007555D5" w:rsidRDefault="00C43E57" w:rsidP="00C43E57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Öğretim elemanlarının öğretme yöntemleri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9AA2" w14:textId="0F37AE0D" w:rsidR="00C43E57" w:rsidRPr="007555D5" w:rsidRDefault="00C43E57" w:rsidP="009B71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F8C5" w14:textId="55F686E4" w:rsidR="00C43E57" w:rsidRPr="007555D5" w:rsidRDefault="00C43E57" w:rsidP="009B71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9,40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4EB8" w14:textId="0A49860D" w:rsidR="00C43E57" w:rsidRPr="007555D5" w:rsidRDefault="00C43E57" w:rsidP="00C4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</w:t>
            </w:r>
            <w:r w:rsidR="002406B4"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7555D5" w:rsidRPr="007555D5" w14:paraId="4EB283CD" w14:textId="77777777" w:rsidTr="009B715D">
        <w:trPr>
          <w:trHeight w:val="461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7AE7" w14:textId="77777777" w:rsidR="00C43E57" w:rsidRPr="007555D5" w:rsidRDefault="00C43E57" w:rsidP="00C43E5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7555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2.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B289" w14:textId="0F838A16" w:rsidR="00C43E57" w:rsidRPr="007555D5" w:rsidRDefault="00C43E57" w:rsidP="00C43E57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Adalet bölüm danışmanlığı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13E" w14:textId="7AB73387" w:rsidR="00C43E57" w:rsidRPr="007555D5" w:rsidRDefault="00C43E57" w:rsidP="009B71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F617" w14:textId="6DA1BFED" w:rsidR="00C43E57" w:rsidRPr="007555D5" w:rsidRDefault="00C43E57" w:rsidP="009B71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9,20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A909" w14:textId="74761A62" w:rsidR="00C43E57" w:rsidRPr="007555D5" w:rsidRDefault="00C43E57" w:rsidP="00C4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  <w:r w:rsidR="002406B4"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7555D5" w:rsidRPr="007555D5" w14:paraId="7FEF3D8A" w14:textId="77777777" w:rsidTr="009B715D">
        <w:trPr>
          <w:trHeight w:val="49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3EE4" w14:textId="77777777" w:rsidR="00C43E57" w:rsidRPr="007555D5" w:rsidRDefault="00C43E57" w:rsidP="00C43E5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7555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3.</w:t>
            </w:r>
          </w:p>
          <w:p w14:paraId="46B48E7D" w14:textId="77777777" w:rsidR="00C43E57" w:rsidRPr="007555D5" w:rsidRDefault="00C43E57" w:rsidP="00C43E57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2D33" w14:textId="44552690" w:rsidR="00C43E57" w:rsidRPr="007555D5" w:rsidRDefault="00C43E57" w:rsidP="00C43E5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Adalet bölümünde yer alan derslerin Müfredatı (içeriği)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C48F" w14:textId="08DC6581" w:rsidR="00C43E57" w:rsidRPr="007555D5" w:rsidRDefault="00C43E57" w:rsidP="009B71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8348" w14:textId="714CE4E6" w:rsidR="00C43E57" w:rsidRPr="007555D5" w:rsidRDefault="00C43E57" w:rsidP="009B71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7,80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3920" w14:textId="159CCA8E" w:rsidR="00C43E57" w:rsidRPr="007555D5" w:rsidRDefault="00C43E57" w:rsidP="00C4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  <w:r w:rsidR="002406B4"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7555D5" w:rsidRPr="007555D5" w14:paraId="5BC006E6" w14:textId="77777777" w:rsidTr="009B715D">
        <w:trPr>
          <w:trHeight w:val="49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CAD4" w14:textId="77777777" w:rsidR="00C43E57" w:rsidRPr="007555D5" w:rsidRDefault="00C43E57" w:rsidP="00C43E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DC98" w14:textId="11B54179" w:rsidR="00C43E57" w:rsidRPr="007555D5" w:rsidRDefault="00C43E57" w:rsidP="00C43E5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Öğrenim gördüğüm önlisans programında okutulan derslerin kariyer hedeflerim ve ileriki çalışmalarımla ilişki düzeyi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61D4" w14:textId="3E32A8A6" w:rsidR="00C43E57" w:rsidRPr="007555D5" w:rsidRDefault="00C43E57" w:rsidP="009B71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B4BE" w14:textId="2DF64ADC" w:rsidR="00C43E57" w:rsidRPr="007555D5" w:rsidRDefault="00C43E57" w:rsidP="009B71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8,40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B5BE" w14:textId="723EF0F6" w:rsidR="00C43E57" w:rsidRPr="007555D5" w:rsidRDefault="00C43E57" w:rsidP="00C4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  <w:r w:rsidR="002406B4"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7555D5" w:rsidRPr="007555D5" w14:paraId="7283AE2E" w14:textId="77777777" w:rsidTr="009B715D">
        <w:trPr>
          <w:trHeight w:val="258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8D54" w14:textId="77777777" w:rsidR="00C43E57" w:rsidRPr="007555D5" w:rsidRDefault="00C43E57" w:rsidP="00C43E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BF4F" w14:textId="719D8CA8" w:rsidR="00C43E57" w:rsidRPr="007555D5" w:rsidRDefault="00C43E57" w:rsidP="00C43E5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programımdaki derslerin çeşitliliği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13D7" w14:textId="232E4E44" w:rsidR="00C43E57" w:rsidRPr="007555D5" w:rsidRDefault="00C43E57" w:rsidP="009B71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E649" w14:textId="5CA2A4C6" w:rsidR="00C43E57" w:rsidRPr="007555D5" w:rsidRDefault="00C43E57" w:rsidP="009B71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8,20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6DCB" w14:textId="1E382552" w:rsidR="00C43E57" w:rsidRPr="007555D5" w:rsidRDefault="00C43E57" w:rsidP="00C4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  <w:r w:rsidR="002406B4"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7555D5" w:rsidRPr="007555D5" w14:paraId="151EC11E" w14:textId="77777777" w:rsidTr="009B715D">
        <w:trPr>
          <w:trHeight w:val="208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05B5" w14:textId="77777777" w:rsidR="00C43E57" w:rsidRPr="007555D5" w:rsidRDefault="00C43E57" w:rsidP="00C43E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D947" w14:textId="4429F0BB" w:rsidR="00C43E57" w:rsidRPr="007555D5" w:rsidRDefault="00C43E57" w:rsidP="00C43E5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Dersi alan sınıftaki öğrenci sayısı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618B" w14:textId="5A6CDA07" w:rsidR="00C43E57" w:rsidRPr="007555D5" w:rsidRDefault="00C43E57" w:rsidP="009B71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E8CA" w14:textId="66982B60" w:rsidR="00C43E57" w:rsidRPr="007555D5" w:rsidRDefault="00C43E57" w:rsidP="009B71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9,40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584F" w14:textId="75B98359" w:rsidR="00C43E57" w:rsidRPr="007555D5" w:rsidRDefault="00C43E57" w:rsidP="00C4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</w:t>
            </w:r>
            <w:r w:rsidR="002406B4"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7555D5" w:rsidRPr="007555D5" w14:paraId="5F09D088" w14:textId="77777777" w:rsidTr="009B715D">
        <w:trPr>
          <w:trHeight w:val="49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5D62" w14:textId="77777777" w:rsidR="00C43E57" w:rsidRPr="007555D5" w:rsidRDefault="00C43E57" w:rsidP="00C43E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6F5D" w14:textId="18051EC3" w:rsidR="00C43E57" w:rsidRPr="007555D5" w:rsidRDefault="00C43E57" w:rsidP="00C43E5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Görüşme saatlerinde Öğretim elemanlarına ulaşabilme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18CD" w14:textId="02141502" w:rsidR="00C43E57" w:rsidRPr="007555D5" w:rsidRDefault="00C43E57" w:rsidP="009B71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5E64" w14:textId="76C4EDD8" w:rsidR="00C43E57" w:rsidRPr="007555D5" w:rsidRDefault="00C43E57" w:rsidP="009B71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10,00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0E13" w14:textId="7D84F622" w:rsidR="00C43E57" w:rsidRPr="007555D5" w:rsidRDefault="00C43E57" w:rsidP="00C4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  <w:r w:rsidR="002406B4"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7555D5" w:rsidRPr="007555D5" w14:paraId="1A0612DE" w14:textId="77777777" w:rsidTr="009B715D">
        <w:trPr>
          <w:trHeight w:val="28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E540" w14:textId="77777777" w:rsidR="00C43E57" w:rsidRPr="007555D5" w:rsidRDefault="00C43E57" w:rsidP="00C43E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74AE" w14:textId="1779D6BD" w:rsidR="00C43E57" w:rsidRPr="007555D5" w:rsidRDefault="00C43E57" w:rsidP="00C43E57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Sınıfların ve Sanal Sınıfların Altyapı Yeterliliği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2C67" w14:textId="7F9F9C34" w:rsidR="00C43E57" w:rsidRPr="007555D5" w:rsidRDefault="00C43E57" w:rsidP="009B71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2231" w14:textId="7BE56DDA" w:rsidR="00C43E57" w:rsidRPr="007555D5" w:rsidRDefault="00C43E57" w:rsidP="009B71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9,00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832D" w14:textId="624D8BA3" w:rsidR="00C43E57" w:rsidRPr="007555D5" w:rsidRDefault="00C43E57" w:rsidP="00C4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  <w:r w:rsidR="002406B4"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7555D5" w:rsidRPr="007555D5" w14:paraId="4762F97E" w14:textId="77777777" w:rsidTr="009B715D">
        <w:trPr>
          <w:trHeight w:val="273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86FE" w14:textId="77777777" w:rsidR="00C43E57" w:rsidRPr="007555D5" w:rsidRDefault="00C43E57" w:rsidP="00C43E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AEE4" w14:textId="382FD778" w:rsidR="00C43E57" w:rsidRPr="007555D5" w:rsidRDefault="00C43E57" w:rsidP="00C43E5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 Materyalleri ve Yeni Teknolojik kaynakların kullanımı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3AF7" w14:textId="77689803" w:rsidR="00C43E57" w:rsidRPr="007555D5" w:rsidRDefault="00C43E57" w:rsidP="009B71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0347" w14:textId="2BB44419" w:rsidR="00C43E57" w:rsidRPr="007555D5" w:rsidRDefault="00C43E57" w:rsidP="009B71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9,00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3D9" w14:textId="26F7B27B" w:rsidR="00C43E57" w:rsidRPr="007555D5" w:rsidRDefault="00C43E57" w:rsidP="00C4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  <w:r w:rsidR="002406B4"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7555D5" w:rsidRPr="007555D5" w14:paraId="43970DEB" w14:textId="77777777" w:rsidTr="009B715D">
        <w:trPr>
          <w:trHeight w:val="49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3290" w14:textId="77777777" w:rsidR="00C43E57" w:rsidRPr="007555D5" w:rsidRDefault="00C43E57" w:rsidP="00C43E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8559" w14:textId="5F371B25" w:rsidR="00C43E57" w:rsidRPr="007555D5" w:rsidRDefault="00C43E57" w:rsidP="00C43E5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Adalet alanıyla ilgili Kütüphane Kaynakları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624D" w14:textId="4F614E32" w:rsidR="00C43E57" w:rsidRPr="007555D5" w:rsidRDefault="00C43E57" w:rsidP="009B71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FBF0" w14:textId="3DA54F52" w:rsidR="00C43E57" w:rsidRPr="007555D5" w:rsidRDefault="00C43E57" w:rsidP="009B71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8,80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0978" w14:textId="5A6CC5E4" w:rsidR="00C43E57" w:rsidRPr="007555D5" w:rsidRDefault="00C43E57" w:rsidP="00C4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</w:t>
            </w:r>
            <w:r w:rsidR="002406B4"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7555D5" w:rsidRPr="007555D5" w14:paraId="7030734A" w14:textId="77777777" w:rsidTr="009B715D">
        <w:trPr>
          <w:trHeight w:val="49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DB99" w14:textId="77777777" w:rsidR="00C43E57" w:rsidRPr="007555D5" w:rsidRDefault="00C43E57" w:rsidP="00C43E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2D48" w14:textId="43369179" w:rsidR="00C43E57" w:rsidRPr="007555D5" w:rsidRDefault="00C43E57" w:rsidP="00C43E5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Kariyer Danışmanlığı/Planlama/ işe Yerleştirme Hizmetleri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25E9" w14:textId="5520C6A5" w:rsidR="00C43E57" w:rsidRPr="007555D5" w:rsidRDefault="00C43E57" w:rsidP="009B71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0DB3" w14:textId="09E0C745" w:rsidR="00C43E57" w:rsidRPr="007555D5" w:rsidRDefault="00C43E57" w:rsidP="009B71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6,20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4C64" w14:textId="4050F446" w:rsidR="00C43E57" w:rsidRPr="007555D5" w:rsidRDefault="00C43E57" w:rsidP="00C4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  <w:r w:rsidR="002406B4"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7555D5" w:rsidRPr="007555D5" w14:paraId="4E803821" w14:textId="77777777" w:rsidTr="009B715D">
        <w:trPr>
          <w:trHeight w:val="246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CB5B" w14:textId="77777777" w:rsidR="00C43E57" w:rsidRPr="007555D5" w:rsidRDefault="00C43E57" w:rsidP="00C43E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2412" w14:textId="1F77AB45" w:rsidR="00C43E57" w:rsidRPr="007555D5" w:rsidRDefault="00C43E57" w:rsidP="00C43E5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 Organizasyonları ve Kulüpleri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A15A" w14:textId="517805B4" w:rsidR="00C43E57" w:rsidRPr="007555D5" w:rsidRDefault="00C43E57" w:rsidP="009B71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D93A" w14:textId="0F496AAD" w:rsidR="00C43E57" w:rsidRPr="007555D5" w:rsidRDefault="00C43E57" w:rsidP="009B71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7,80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769E" w14:textId="3718AFCB" w:rsidR="00C43E57" w:rsidRPr="007555D5" w:rsidRDefault="00C43E57" w:rsidP="00C4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  <w:r w:rsidR="002406B4"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7555D5" w:rsidRPr="007555D5" w14:paraId="6E839E38" w14:textId="77777777" w:rsidTr="009B715D">
        <w:trPr>
          <w:trHeight w:val="49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34B0" w14:textId="77777777" w:rsidR="00C43E57" w:rsidRPr="007555D5" w:rsidRDefault="00C43E57" w:rsidP="00C43E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1097" w14:textId="4CF24783" w:rsidR="00C43E57" w:rsidRPr="007555D5" w:rsidRDefault="00C43E57" w:rsidP="00C43E5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Adalet Bölümünün Genel Kalitesi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43BA" w14:textId="3022793A" w:rsidR="00C43E57" w:rsidRPr="007555D5" w:rsidRDefault="00C43E57" w:rsidP="009B71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0C5D" w14:textId="0E8E22B4" w:rsidR="00C43E57" w:rsidRPr="007555D5" w:rsidRDefault="00C43E57" w:rsidP="009B71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9,00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24CC" w14:textId="727FC63B" w:rsidR="00C43E57" w:rsidRPr="007555D5" w:rsidRDefault="00C43E57" w:rsidP="00C4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  <w:r w:rsidR="002406B4"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C43E57" w:rsidRPr="007555D5" w14:paraId="126CB7E6" w14:textId="77777777" w:rsidTr="009B715D">
        <w:trPr>
          <w:trHeight w:val="238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AAB4" w14:textId="77777777" w:rsidR="00C43E57" w:rsidRPr="007555D5" w:rsidRDefault="00C43E57" w:rsidP="00C43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85A4" w14:textId="778CD845" w:rsidR="00C43E57" w:rsidRPr="007555D5" w:rsidRDefault="00C43E57" w:rsidP="00C43E5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Genel Ortalama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E501" w14:textId="2AE4BA66" w:rsidR="00C43E57" w:rsidRPr="007555D5" w:rsidRDefault="00C43E57" w:rsidP="009B71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3E17" w14:textId="1511D880" w:rsidR="00C43E57" w:rsidRPr="007555D5" w:rsidRDefault="00C43E57" w:rsidP="009B71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8,63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D352" w14:textId="30679B58" w:rsidR="00C43E57" w:rsidRPr="007555D5" w:rsidRDefault="00C43E57" w:rsidP="00C43E5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86,3</w:t>
            </w:r>
          </w:p>
        </w:tc>
      </w:tr>
    </w:tbl>
    <w:p w14:paraId="6FD7B47D" w14:textId="77777777" w:rsidR="00820736" w:rsidRPr="007555D5" w:rsidRDefault="00820736" w:rsidP="00D735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4134199E" w14:textId="0736A384" w:rsidR="000A2604" w:rsidRPr="007555D5" w:rsidRDefault="00931D26" w:rsidP="00D735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Öğrencilerin öğrenme ortamına ilişkin görüşlerinin dağılımları incelendiğinde </w:t>
      </w:r>
      <w:r w:rsidR="00A42AB9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genel ortalamanın (</w:t>
      </w:r>
      <w:r w:rsidR="008E2D83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%</w:t>
      </w:r>
      <w:r w:rsidR="007F4157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86,3</w:t>
      </w:r>
      <w:r w:rsidR="00B6675F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) ile</w:t>
      </w:r>
      <w:r w:rsidR="00FC6387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hedeflenen</w:t>
      </w:r>
      <w:r w:rsidR="00A42AB9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(</w:t>
      </w:r>
      <w:r w:rsidR="00FC6387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%70</w:t>
      </w:r>
      <w:r w:rsidR="00A42AB9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) oranın üstünde </w:t>
      </w:r>
      <w:r w:rsidR="00BD5680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olduğu görülmektedir</w:t>
      </w:r>
      <w:r w:rsidR="00FC6387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.</w:t>
      </w:r>
      <w:r w:rsidR="00A70FD5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Özellikle öğrenciler, </w:t>
      </w:r>
      <w:r w:rsidR="007F4157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Bankacılık ve Sigortacılık programının öğretim elemanlarına istedikleri zaman ulaşabilmekten (%100), öğretim elemanlarının öğretme tekniklerinden (%94), sınıfların yeterliliği ve ders materyalleriyle teknolojik kaynaklarının kullanımından (%90) yüksek düzeyde memnun oldukları görülmektedir. </w:t>
      </w:r>
      <w:r w:rsidR="00654871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Yalnızca </w:t>
      </w:r>
      <w:r w:rsidR="007F4157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kariyer danışmanlığı ve işe yerleştirme</w:t>
      </w:r>
      <w:r w:rsidR="00654871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konusunda diğer kriterlere göre daha düşük düzeyde memnuniyet görülmektedir (%</w:t>
      </w:r>
      <w:r w:rsidR="007F4157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62</w:t>
      </w:r>
      <w:r w:rsidR="00654871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).</w:t>
      </w:r>
      <w:r w:rsidR="002E6F5A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</w:p>
    <w:p w14:paraId="344AE80B" w14:textId="2CFD344D" w:rsidR="000C48AD" w:rsidRPr="007555D5" w:rsidRDefault="000A2604" w:rsidP="000A2604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br w:type="page"/>
      </w:r>
    </w:p>
    <w:p w14:paraId="343D10C3" w14:textId="52EBDA69" w:rsidR="00D73573" w:rsidRPr="007555D5" w:rsidRDefault="00475393" w:rsidP="00D7357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7555D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  <w:lastRenderedPageBreak/>
        <w:t>Tablo 3</w:t>
      </w:r>
      <w:r w:rsidR="000A2604" w:rsidRPr="007555D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  <w:t>.</w:t>
      </w:r>
      <w:r w:rsidR="00D73573" w:rsidRPr="007555D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D73573" w:rsidRPr="007555D5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Açık Uçlu Sorulara İlişkin Öğrenci Görüşlerinin Özeti (</w:t>
      </w:r>
      <w:r w:rsidR="009B715D" w:rsidRPr="007555D5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Bankacılık ve Sigortacılık</w:t>
      </w:r>
      <w:r w:rsidR="000A2604" w:rsidRPr="007555D5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 Programı)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652"/>
        <w:gridCol w:w="5636"/>
      </w:tblGrid>
      <w:tr w:rsidR="007555D5" w:rsidRPr="007555D5" w14:paraId="42367435" w14:textId="77777777" w:rsidTr="000A2604">
        <w:trPr>
          <w:trHeight w:val="356"/>
        </w:trPr>
        <w:tc>
          <w:tcPr>
            <w:tcW w:w="1966" w:type="pct"/>
          </w:tcPr>
          <w:p w14:paraId="25B8DB56" w14:textId="77777777" w:rsidR="00D73573" w:rsidRPr="007555D5" w:rsidRDefault="00D73573" w:rsidP="0054530A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Sorular</w:t>
            </w:r>
          </w:p>
        </w:tc>
        <w:tc>
          <w:tcPr>
            <w:tcW w:w="3034" w:type="pct"/>
          </w:tcPr>
          <w:p w14:paraId="3FC34B8F" w14:textId="77777777" w:rsidR="00D73573" w:rsidRPr="007555D5" w:rsidRDefault="00D73573" w:rsidP="0054530A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Görüşler</w:t>
            </w:r>
          </w:p>
        </w:tc>
      </w:tr>
      <w:tr w:rsidR="007555D5" w:rsidRPr="007555D5" w14:paraId="6182FC19" w14:textId="77777777" w:rsidTr="000A2604">
        <w:tc>
          <w:tcPr>
            <w:tcW w:w="1966" w:type="pct"/>
          </w:tcPr>
          <w:p w14:paraId="3E14E521" w14:textId="3F5054AD" w:rsidR="00D73573" w:rsidRPr="007555D5" w:rsidRDefault="008F4BF9" w:rsidP="0054530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1. </w:t>
            </w:r>
            <w:r w:rsidR="00C43E57" w:rsidRPr="007555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Bankacılık ve Sigortacılık</w:t>
            </w:r>
            <w:r w:rsidRPr="007555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ön lisans programını okurken en çok memnun kaldığınız alanlar nelerdir?</w:t>
            </w:r>
            <w:r w:rsidRPr="007555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7555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7555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7555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7555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3034" w:type="pct"/>
          </w:tcPr>
          <w:p w14:paraId="191BFB43" w14:textId="00EC1A4A" w:rsidR="0098587E" w:rsidRPr="007555D5" w:rsidRDefault="00B00AA6" w:rsidP="008F4BF9">
            <w:pPr>
              <w:pStyle w:val="AralkYok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Öğretim elemanlarının fazla olması</w:t>
            </w:r>
          </w:p>
        </w:tc>
      </w:tr>
      <w:tr w:rsidR="007555D5" w:rsidRPr="007555D5" w14:paraId="4C4E3B79" w14:textId="77777777" w:rsidTr="000A2604">
        <w:tc>
          <w:tcPr>
            <w:tcW w:w="1966" w:type="pct"/>
          </w:tcPr>
          <w:p w14:paraId="790E4536" w14:textId="563E47A9" w:rsidR="0098587E" w:rsidRPr="007555D5" w:rsidRDefault="008F4BF9" w:rsidP="0054530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2. </w:t>
            </w:r>
            <w:r w:rsidR="00B00AA6" w:rsidRPr="007555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Bankacılık ve Sigortacılık</w:t>
            </w:r>
            <w:r w:rsidRPr="007555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ön lisans programını okurken en az memnun kaldığınız alanlar nelerdir?</w:t>
            </w:r>
            <w:r w:rsidRPr="007555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7555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7555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7555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7555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3034" w:type="pct"/>
          </w:tcPr>
          <w:p w14:paraId="33822BAB" w14:textId="77777777" w:rsidR="004135CC" w:rsidRPr="007555D5" w:rsidRDefault="002E6F5A" w:rsidP="004135CC">
            <w:pPr>
              <w:pStyle w:val="AralkYok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47EB707" w14:textId="4D3142D9" w:rsidR="002E6F5A" w:rsidRPr="007555D5" w:rsidRDefault="00B00AA6" w:rsidP="000D5B8F">
            <w:pPr>
              <w:pStyle w:val="AralkYok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Sigorta derslerine bir sigortacının girmemesi, kariyer planlama desteğinin olmaması, uygulama olmaması</w:t>
            </w:r>
          </w:p>
          <w:p w14:paraId="23D20D20" w14:textId="70A3EE99" w:rsidR="000D5B8F" w:rsidRPr="007555D5" w:rsidRDefault="000D5B8F" w:rsidP="004135CC">
            <w:pPr>
              <w:pStyle w:val="AralkYok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555D5" w:rsidRPr="007555D5" w14:paraId="7960BD61" w14:textId="77777777" w:rsidTr="000A2604">
        <w:tc>
          <w:tcPr>
            <w:tcW w:w="1966" w:type="pct"/>
          </w:tcPr>
          <w:p w14:paraId="704C694B" w14:textId="52A8F842" w:rsidR="0098587E" w:rsidRPr="007555D5" w:rsidRDefault="000D5B8F" w:rsidP="0054530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3. Tekrar başlayabilme şansınız olsaydı, yine bu bölümü okumak ister</w:t>
            </w:r>
            <w:r w:rsidR="00B00AA6" w:rsidRPr="007555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555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miydiniz?</w:t>
            </w:r>
            <w:r w:rsidRPr="007555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7555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7555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7555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7555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3034" w:type="pct"/>
          </w:tcPr>
          <w:p w14:paraId="3E70685E" w14:textId="714D924C" w:rsidR="0098587E" w:rsidRPr="007555D5" w:rsidRDefault="00A47258" w:rsidP="004135CC">
            <w:pPr>
              <w:pStyle w:val="AralkYok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Evet  (</w:t>
            </w:r>
            <w:r w:rsidR="00B00AA6" w:rsidRPr="007555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="004135CC" w:rsidRPr="007555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kişi </w:t>
            </w:r>
            <w:r w:rsidRPr="007555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4135CC" w:rsidRPr="007555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7555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Hayır  (</w:t>
            </w:r>
            <w:r w:rsidR="00B00AA6" w:rsidRPr="007555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135CC" w:rsidRPr="007555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kişi</w:t>
            </w:r>
            <w:r w:rsidRPr="007555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7555D5" w:rsidRPr="007555D5" w14:paraId="33D1C9E2" w14:textId="77777777" w:rsidTr="000A2604">
        <w:tc>
          <w:tcPr>
            <w:tcW w:w="1966" w:type="pct"/>
          </w:tcPr>
          <w:p w14:paraId="0F4E2D46" w14:textId="725D68EB" w:rsidR="004135CC" w:rsidRPr="007555D5" w:rsidRDefault="000D5B8F" w:rsidP="004135C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4.</w:t>
            </w:r>
            <w:r w:rsidR="009B715D" w:rsidRPr="007555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Bankacılık ve Sigortacılık</w:t>
            </w:r>
            <w:r w:rsidRPr="007555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programına dair pandemi dönemine ilişkin görüşleriniz nelerdir?</w:t>
            </w:r>
            <w:r w:rsidRPr="007555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7555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7555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7555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7555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3034" w:type="pct"/>
          </w:tcPr>
          <w:p w14:paraId="7E436CC9" w14:textId="0209F281" w:rsidR="00FB42AE" w:rsidRPr="007555D5" w:rsidRDefault="00B00AA6" w:rsidP="00EC6F18">
            <w:pPr>
              <w:pStyle w:val="AralkYok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Okulun ve öğretim elemanlarının gerekli önlemleri alması iyiydi.</w:t>
            </w:r>
          </w:p>
          <w:p w14:paraId="452B93CC" w14:textId="77134CF8" w:rsidR="00B00AA6" w:rsidRPr="007555D5" w:rsidRDefault="00B00AA6" w:rsidP="00EC6F18">
            <w:pPr>
              <w:pStyle w:val="AralkYok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8587E" w:rsidRPr="007555D5" w14:paraId="794B49CF" w14:textId="77777777" w:rsidTr="000A2604">
        <w:trPr>
          <w:trHeight w:val="138"/>
        </w:trPr>
        <w:tc>
          <w:tcPr>
            <w:tcW w:w="1966" w:type="pct"/>
          </w:tcPr>
          <w:p w14:paraId="123AB59A" w14:textId="77777777" w:rsidR="0098587E" w:rsidRPr="007555D5" w:rsidRDefault="0098587E" w:rsidP="00475393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Diğer görüşleri</w:t>
            </w:r>
          </w:p>
        </w:tc>
        <w:tc>
          <w:tcPr>
            <w:tcW w:w="3034" w:type="pct"/>
          </w:tcPr>
          <w:p w14:paraId="715587E5" w14:textId="5A93B153" w:rsidR="002E6F5A" w:rsidRPr="007555D5" w:rsidRDefault="00EC6F18" w:rsidP="00EC6F1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00AA6"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Alanla ilgili çeşitli uygulamaların olması gerekliliğini belirten öğrenciler genel olarak hem program hem de öğretim elemanlarından memnuniyetlerini ifade etmişlerdir.</w:t>
            </w:r>
            <w:r w:rsidRPr="007555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585B8083" w14:textId="77777777" w:rsidR="00D73573" w:rsidRPr="007555D5" w:rsidRDefault="00D73573" w:rsidP="00D735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495DF43C" w14:textId="77777777" w:rsidR="00D73573" w:rsidRPr="007555D5" w:rsidRDefault="00D73573" w:rsidP="00D7357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346F890D" w14:textId="77777777" w:rsidR="003A270A" w:rsidRPr="007555D5" w:rsidRDefault="003A270A">
      <w:pPr>
        <w:rPr>
          <w:rFonts w:ascii="Times New Roman" w:hAnsi="Times New Roman" w:cs="Times New Roman"/>
          <w:color w:val="000000" w:themeColor="text1"/>
        </w:rPr>
      </w:pPr>
    </w:p>
    <w:sectPr w:rsidR="003A270A" w:rsidRPr="00755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B50BD"/>
    <w:multiLevelType w:val="hybridMultilevel"/>
    <w:tmpl w:val="37F8A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5C29"/>
    <w:multiLevelType w:val="hybridMultilevel"/>
    <w:tmpl w:val="C4185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77A53"/>
    <w:multiLevelType w:val="hybridMultilevel"/>
    <w:tmpl w:val="37EA8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931C2"/>
    <w:multiLevelType w:val="hybridMultilevel"/>
    <w:tmpl w:val="53CADA0E"/>
    <w:lvl w:ilvl="0" w:tplc="A1D4F2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B075F"/>
    <w:multiLevelType w:val="hybridMultilevel"/>
    <w:tmpl w:val="EBBE7878"/>
    <w:lvl w:ilvl="0" w:tplc="A1D4F2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5DC5512"/>
    <w:multiLevelType w:val="hybridMultilevel"/>
    <w:tmpl w:val="29C83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707011">
    <w:abstractNumId w:val="5"/>
  </w:num>
  <w:num w:numId="2" w16cid:durableId="1064185065">
    <w:abstractNumId w:val="4"/>
  </w:num>
  <w:num w:numId="3" w16cid:durableId="1513689106">
    <w:abstractNumId w:val="1"/>
  </w:num>
  <w:num w:numId="4" w16cid:durableId="1740787019">
    <w:abstractNumId w:val="0"/>
  </w:num>
  <w:num w:numId="5" w16cid:durableId="197550643">
    <w:abstractNumId w:val="3"/>
  </w:num>
  <w:num w:numId="6" w16cid:durableId="2082557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573"/>
    <w:rsid w:val="00037027"/>
    <w:rsid w:val="000561F9"/>
    <w:rsid w:val="00073FAF"/>
    <w:rsid w:val="000A2604"/>
    <w:rsid w:val="000C48AD"/>
    <w:rsid w:val="000D5B8F"/>
    <w:rsid w:val="000F1F68"/>
    <w:rsid w:val="00107743"/>
    <w:rsid w:val="00194514"/>
    <w:rsid w:val="00195E1C"/>
    <w:rsid w:val="001B7A68"/>
    <w:rsid w:val="002406B4"/>
    <w:rsid w:val="00246B7A"/>
    <w:rsid w:val="00286621"/>
    <w:rsid w:val="002C5C28"/>
    <w:rsid w:val="002D5795"/>
    <w:rsid w:val="002E6F5A"/>
    <w:rsid w:val="002F5AD5"/>
    <w:rsid w:val="002F7492"/>
    <w:rsid w:val="00314363"/>
    <w:rsid w:val="003565F2"/>
    <w:rsid w:val="00373622"/>
    <w:rsid w:val="003A03E4"/>
    <w:rsid w:val="003A270A"/>
    <w:rsid w:val="003E6379"/>
    <w:rsid w:val="004135CC"/>
    <w:rsid w:val="004678A9"/>
    <w:rsid w:val="00471490"/>
    <w:rsid w:val="00475393"/>
    <w:rsid w:val="00514043"/>
    <w:rsid w:val="0054797A"/>
    <w:rsid w:val="00555F42"/>
    <w:rsid w:val="00602670"/>
    <w:rsid w:val="00654871"/>
    <w:rsid w:val="006B3A1E"/>
    <w:rsid w:val="00700050"/>
    <w:rsid w:val="00722970"/>
    <w:rsid w:val="00735768"/>
    <w:rsid w:val="007555D5"/>
    <w:rsid w:val="007A60C7"/>
    <w:rsid w:val="007C4040"/>
    <w:rsid w:val="007F4157"/>
    <w:rsid w:val="008019BF"/>
    <w:rsid w:val="00814A2C"/>
    <w:rsid w:val="0082025B"/>
    <w:rsid w:val="00820736"/>
    <w:rsid w:val="008616E5"/>
    <w:rsid w:val="00871C17"/>
    <w:rsid w:val="008948BB"/>
    <w:rsid w:val="008E2D83"/>
    <w:rsid w:val="008F4BF9"/>
    <w:rsid w:val="00931D26"/>
    <w:rsid w:val="00944959"/>
    <w:rsid w:val="009528A9"/>
    <w:rsid w:val="0098587E"/>
    <w:rsid w:val="009958D9"/>
    <w:rsid w:val="009B5585"/>
    <w:rsid w:val="009B715D"/>
    <w:rsid w:val="00A26472"/>
    <w:rsid w:val="00A42AB9"/>
    <w:rsid w:val="00A43C72"/>
    <w:rsid w:val="00A47258"/>
    <w:rsid w:val="00A47672"/>
    <w:rsid w:val="00A70FD5"/>
    <w:rsid w:val="00AA0D4B"/>
    <w:rsid w:val="00AB5CCA"/>
    <w:rsid w:val="00AB7336"/>
    <w:rsid w:val="00AC0773"/>
    <w:rsid w:val="00AC430E"/>
    <w:rsid w:val="00B00AA6"/>
    <w:rsid w:val="00B45835"/>
    <w:rsid w:val="00B61606"/>
    <w:rsid w:val="00B6675F"/>
    <w:rsid w:val="00B847E1"/>
    <w:rsid w:val="00BD5680"/>
    <w:rsid w:val="00C43E57"/>
    <w:rsid w:val="00C74946"/>
    <w:rsid w:val="00CA0918"/>
    <w:rsid w:val="00CC496A"/>
    <w:rsid w:val="00D573D0"/>
    <w:rsid w:val="00D67CA5"/>
    <w:rsid w:val="00D73573"/>
    <w:rsid w:val="00DD1F31"/>
    <w:rsid w:val="00DE178D"/>
    <w:rsid w:val="00E20D49"/>
    <w:rsid w:val="00E24EA7"/>
    <w:rsid w:val="00E6096A"/>
    <w:rsid w:val="00E913FA"/>
    <w:rsid w:val="00EC5F03"/>
    <w:rsid w:val="00EC6F18"/>
    <w:rsid w:val="00EF35EF"/>
    <w:rsid w:val="00F11BC9"/>
    <w:rsid w:val="00F47691"/>
    <w:rsid w:val="00F537CA"/>
    <w:rsid w:val="00F67DFE"/>
    <w:rsid w:val="00F800F7"/>
    <w:rsid w:val="00FB42AE"/>
    <w:rsid w:val="00FC6387"/>
    <w:rsid w:val="00FF093F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0148"/>
  <w15:docId w15:val="{C0622B72-03FD-4144-84B3-5A50E9A3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5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3573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73573"/>
    <w:pPr>
      <w:spacing w:after="0" w:line="240" w:lineRule="auto"/>
    </w:pPr>
    <w:rPr>
      <w:lang w:val="tr-TR"/>
    </w:rPr>
  </w:style>
  <w:style w:type="table" w:customStyle="1" w:styleId="TableGrid1">
    <w:name w:val="Table Grid1"/>
    <w:basedOn w:val="NormalTablo"/>
    <w:next w:val="TabloKlavuzu"/>
    <w:uiPriority w:val="59"/>
    <w:rsid w:val="00AB733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19B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4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4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A175C-13B6-4B1D-AD0C-6257EBB60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Oğuzhan</cp:lastModifiedBy>
  <cp:revision>12</cp:revision>
  <cp:lastPrinted>2019-06-12T10:50:00Z</cp:lastPrinted>
  <dcterms:created xsi:type="dcterms:W3CDTF">2023-06-14T10:33:00Z</dcterms:created>
  <dcterms:modified xsi:type="dcterms:W3CDTF">2023-06-15T11:51:00Z</dcterms:modified>
</cp:coreProperties>
</file>