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8D2" w14:textId="7A917B9B" w:rsidR="00BD5680" w:rsidRPr="000A77B0" w:rsidRDefault="00BD5680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A77B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ÇAĞ </w:t>
      </w:r>
      <w:r w:rsidR="00F800F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ÜNİVERSİTESİ</w:t>
      </w:r>
    </w:p>
    <w:p w14:paraId="3D10CBB2" w14:textId="20EE745D" w:rsidR="00BD5680" w:rsidRPr="000A77B0" w:rsidRDefault="00F800F7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2022-2023 Akademik Yılı</w:t>
      </w:r>
    </w:p>
    <w:p w14:paraId="48634BB9" w14:textId="0346CDE1" w:rsidR="00BD5680" w:rsidRPr="00EC6F18" w:rsidRDefault="00BD5680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A77B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F800F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ÖĞRENCİ ÇIKIŞ ANKETİ</w:t>
      </w:r>
    </w:p>
    <w:p w14:paraId="245CCCCE" w14:textId="50751B4D" w:rsidR="00D73573" w:rsidRDefault="00BD5680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Bölüm adı: </w:t>
      </w:r>
      <w:r w:rsidR="00F800F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Adalet, MYO</w:t>
      </w:r>
      <w:r w:rsidR="00D73573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  <w:r w:rsidR="00D73573" w:rsidRPr="00CF550B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</w:p>
    <w:p w14:paraId="1729B116" w14:textId="59E5620D" w:rsidR="00D73573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Kapsam: </w:t>
      </w:r>
      <w:r w:rsidRPr="00CF550B">
        <w:rPr>
          <w:rFonts w:ascii="Times New Roman" w:hAnsi="Times New Roman" w:cs="Times New Roman"/>
          <w:sz w:val="24"/>
          <w:szCs w:val="24"/>
          <w:lang w:val="tr-TR"/>
        </w:rPr>
        <w:t>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nket formunu </w:t>
      </w:r>
      <w:r w:rsidRPr="00A42AB9">
        <w:rPr>
          <w:rFonts w:ascii="Times New Roman" w:hAnsi="Times New Roman" w:cs="Times New Roman"/>
          <w:sz w:val="24"/>
          <w:szCs w:val="24"/>
          <w:lang w:val="tr-TR"/>
        </w:rPr>
        <w:t xml:space="preserve">toplam </w:t>
      </w:r>
      <w:r w:rsidR="000C48AD">
        <w:rPr>
          <w:rFonts w:ascii="Times New Roman" w:hAnsi="Times New Roman" w:cs="Times New Roman"/>
          <w:sz w:val="24"/>
          <w:szCs w:val="24"/>
          <w:lang w:val="tr-TR"/>
        </w:rPr>
        <w:t>33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A42AB9">
        <w:rPr>
          <w:rFonts w:ascii="Times New Roman" w:hAnsi="Times New Roman" w:cs="Times New Roman"/>
          <w:sz w:val="24"/>
          <w:szCs w:val="24"/>
          <w:lang w:val="tr-TR"/>
        </w:rPr>
        <w:t>öğrenci</w:t>
      </w:r>
      <w:r w:rsidRPr="00AC430E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0C48AD">
        <w:rPr>
          <w:rFonts w:ascii="Times New Roman" w:hAnsi="Times New Roman" w:cs="Times New Roman"/>
          <w:sz w:val="24"/>
          <w:szCs w:val="24"/>
          <w:lang w:val="tr-TR"/>
        </w:rPr>
        <w:t>18</w:t>
      </w:r>
      <w:r w:rsidRPr="00FC6387">
        <w:rPr>
          <w:rFonts w:ascii="Times New Roman" w:hAnsi="Times New Roman" w:cs="Times New Roman"/>
          <w:sz w:val="24"/>
          <w:szCs w:val="24"/>
          <w:lang w:val="tr-TR"/>
        </w:rPr>
        <w:t xml:space="preserve"> Kadın, </w:t>
      </w:r>
      <w:r w:rsidR="00C74946">
        <w:rPr>
          <w:rFonts w:ascii="Times New Roman" w:hAnsi="Times New Roman" w:cs="Times New Roman"/>
          <w:sz w:val="24"/>
          <w:szCs w:val="24"/>
          <w:lang w:val="tr-TR"/>
        </w:rPr>
        <w:t>15</w:t>
      </w:r>
      <w:r w:rsidRPr="00FC6387">
        <w:rPr>
          <w:rFonts w:ascii="Times New Roman" w:hAnsi="Times New Roman" w:cs="Times New Roman"/>
          <w:sz w:val="24"/>
          <w:szCs w:val="24"/>
          <w:lang w:val="tr-TR"/>
        </w:rPr>
        <w:t xml:space="preserve"> Erkek)</w:t>
      </w:r>
      <w:r w:rsidRPr="00A42AB9">
        <w:rPr>
          <w:rFonts w:ascii="Times New Roman" w:hAnsi="Times New Roman" w:cs="Times New Roman"/>
          <w:sz w:val="24"/>
          <w:szCs w:val="24"/>
          <w:lang w:val="tr-TR"/>
        </w:rPr>
        <w:t xml:space="preserve"> cevaplamıştır.</w:t>
      </w:r>
      <w:r w:rsidR="000571CD">
        <w:rPr>
          <w:rFonts w:ascii="Times New Roman" w:hAnsi="Times New Roman" w:cs="Times New Roman"/>
          <w:sz w:val="24"/>
          <w:szCs w:val="24"/>
          <w:lang w:val="tr-TR"/>
        </w:rPr>
        <w:t xml:space="preserve"> Adalet programında öğrenim gören ikinci sınıf öğrenci sayısı toplamda 65 kişi olmakla beraber çalışmaya katılım %50,76</w:t>
      </w:r>
      <w:r w:rsidR="00C4557C">
        <w:rPr>
          <w:rFonts w:ascii="Times New Roman" w:hAnsi="Times New Roman" w:cs="Times New Roman"/>
          <w:sz w:val="24"/>
          <w:szCs w:val="24"/>
          <w:lang w:val="tr-TR"/>
        </w:rPr>
        <w:t xml:space="preserve"> düzeyindedir</w:t>
      </w:r>
      <w:r w:rsidR="000571CD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A42AB9">
        <w:rPr>
          <w:rFonts w:ascii="Times New Roman" w:hAnsi="Times New Roman" w:cs="Times New Roman"/>
          <w:sz w:val="24"/>
          <w:szCs w:val="24"/>
          <w:lang w:val="tr-TR"/>
        </w:rPr>
        <w:t xml:space="preserve"> Katılan </w:t>
      </w:r>
      <w:r w:rsidR="00FC6387" w:rsidRPr="00A42AB9">
        <w:rPr>
          <w:rFonts w:ascii="Times New Roman" w:hAnsi="Times New Roman" w:cs="Times New Roman"/>
          <w:sz w:val="24"/>
          <w:szCs w:val="24"/>
          <w:lang w:val="tr-TR"/>
        </w:rPr>
        <w:t xml:space="preserve">öğrencilerin </w:t>
      </w:r>
      <w:r w:rsidR="000C48AD">
        <w:rPr>
          <w:rFonts w:ascii="Times New Roman" w:hAnsi="Times New Roman" w:cs="Times New Roman"/>
          <w:sz w:val="24"/>
          <w:szCs w:val="24"/>
          <w:lang w:val="tr-TR"/>
        </w:rPr>
        <w:t>22’si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 xml:space="preserve"> hariç olmak üzere </w:t>
      </w:r>
      <w:r w:rsidR="000C48AD">
        <w:rPr>
          <w:rFonts w:ascii="Times New Roman" w:hAnsi="Times New Roman" w:cs="Times New Roman"/>
          <w:sz w:val="24"/>
          <w:szCs w:val="24"/>
          <w:lang w:val="tr-TR"/>
        </w:rPr>
        <w:t>11 öğrencinin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 xml:space="preserve"> staj deneyimi mevcuttur.  Öğrencilerin </w:t>
      </w:r>
      <w:r w:rsidR="000C48AD">
        <w:rPr>
          <w:rFonts w:ascii="Times New Roman" w:hAnsi="Times New Roman" w:cs="Times New Roman"/>
          <w:sz w:val="24"/>
          <w:szCs w:val="24"/>
          <w:lang w:val="tr-TR"/>
        </w:rPr>
        <w:t>ikisi</w:t>
      </w:r>
      <w:r w:rsidR="00EC6F1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C48AD">
        <w:rPr>
          <w:rFonts w:ascii="Times New Roman" w:hAnsi="Times New Roman" w:cs="Times New Roman"/>
          <w:sz w:val="24"/>
          <w:szCs w:val="24"/>
          <w:lang w:val="tr-TR"/>
        </w:rPr>
        <w:t>1980-1994 arası doğumlu iken diğer öğrenciler 1995 ve üzeri doğumludur.</w:t>
      </w:r>
      <w:r w:rsidR="00EC6F18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</w:p>
    <w:p w14:paraId="357B5FF3" w14:textId="7A1CAAE2" w:rsidR="00D73573" w:rsidRDefault="00E20D49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Adalet Programı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>için hedeflenen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 xml:space="preserve"> öğrenme çıktılarına ilişkin görüşler ve ortalamaları (</w:t>
      </w:r>
      <w:r w:rsidR="00AB7336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475393">
        <w:rPr>
          <w:rFonts w:ascii="Times New Roman" w:hAnsi="Times New Roman" w:cs="Times New Roman"/>
          <w:sz w:val="24"/>
          <w:szCs w:val="24"/>
          <w:lang w:val="tr-TR"/>
        </w:rPr>
        <w:t xml:space="preserve"> ifade/soru) Tablo 1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 xml:space="preserve">’de; öğrenme 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>ortamına ilişkin görüş</w:t>
      </w:r>
      <w:r w:rsidR="00475393">
        <w:rPr>
          <w:rFonts w:ascii="Times New Roman" w:hAnsi="Times New Roman" w:cs="Times New Roman"/>
          <w:sz w:val="24"/>
          <w:szCs w:val="24"/>
          <w:lang w:val="tr-TR"/>
        </w:rPr>
        <w:t xml:space="preserve"> ve öneriler (13 ifade) tablo 2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>’de yer almaktadır. Anket formund</w:t>
      </w:r>
      <w:r w:rsidR="00B6675F">
        <w:rPr>
          <w:rFonts w:ascii="Times New Roman" w:hAnsi="Times New Roman" w:cs="Times New Roman"/>
          <w:sz w:val="24"/>
          <w:szCs w:val="24"/>
          <w:lang w:val="tr-TR"/>
        </w:rPr>
        <w:t>a üçüncü bölümde ise toplam beş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 xml:space="preserve"> adet açık uçlu soru bulunmaktadır. Bu sorular arasında, son sınıf 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>öğrencilerinin eğitim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 xml:space="preserve"> gördükleri bölüme ilişkin memnun ve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>
        <w:rPr>
          <w:rFonts w:ascii="Times New Roman" w:hAnsi="Times New Roman" w:cs="Times New Roman"/>
          <w:sz w:val="24"/>
          <w:szCs w:val="24"/>
          <w:lang w:val="tr-TR"/>
        </w:rPr>
        <w:t>, eğitim gördükleri bölümlerin pandemi sürecindeki eğitim ve öğretim faaliyetlerine ilişkin görüşleri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>öğrenci görüşlerinin</w:t>
      </w:r>
      <w:r w:rsidR="0047539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>özeti Tablo</w:t>
      </w:r>
      <w:r w:rsidR="00475393">
        <w:rPr>
          <w:rFonts w:ascii="Times New Roman" w:hAnsi="Times New Roman" w:cs="Times New Roman"/>
          <w:sz w:val="24"/>
          <w:szCs w:val="24"/>
          <w:lang w:val="tr-TR"/>
        </w:rPr>
        <w:t xml:space="preserve"> 3’de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 xml:space="preserve"> yer almıştır.</w:t>
      </w:r>
    </w:p>
    <w:p w14:paraId="591CC7A4" w14:textId="1004D0FA" w:rsidR="00AB7336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Tablo 1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61606">
        <w:rPr>
          <w:rFonts w:ascii="Times New Roman" w:hAnsi="Times New Roman" w:cs="Times New Roman"/>
          <w:b/>
          <w:sz w:val="24"/>
          <w:szCs w:val="24"/>
          <w:lang w:val="tr-TR"/>
        </w:rPr>
        <w:t>Program Çıktıları</w:t>
      </w:r>
      <w:r w:rsidR="00FC6387" w:rsidRPr="00CF550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 w:rsidR="00B61606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Adalet Programı</w:t>
      </w:r>
      <w:r w:rsidR="00D73573" w:rsidRPr="00CF550B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109"/>
        <w:gridCol w:w="5684"/>
        <w:gridCol w:w="625"/>
        <w:gridCol w:w="994"/>
        <w:gridCol w:w="876"/>
      </w:tblGrid>
      <w:tr w:rsidR="00F537CA" w:rsidRPr="000A2604" w14:paraId="79921B41" w14:textId="77777777" w:rsidTr="000A2604">
        <w:tc>
          <w:tcPr>
            <w:tcW w:w="626" w:type="pct"/>
            <w:vAlign w:val="center"/>
          </w:tcPr>
          <w:p w14:paraId="4023BAAA" w14:textId="06D05C8B" w:rsidR="00F537CA" w:rsidRPr="000A2604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  <w:bCs/>
                <w:i/>
                <w:iCs/>
              </w:rPr>
              <w:t>Program Çıktısı No.</w:t>
            </w:r>
          </w:p>
        </w:tc>
        <w:tc>
          <w:tcPr>
            <w:tcW w:w="3089" w:type="pct"/>
            <w:vAlign w:val="center"/>
          </w:tcPr>
          <w:p w14:paraId="35BCEEAA" w14:textId="4EFC2F6C" w:rsidR="00F537CA" w:rsidRPr="000A2604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  <w:bCs/>
                <w:i/>
                <w:iCs/>
              </w:rPr>
              <w:t>Program Çıktıları</w:t>
            </w:r>
          </w:p>
        </w:tc>
        <w:tc>
          <w:tcPr>
            <w:tcW w:w="365" w:type="pct"/>
            <w:vAlign w:val="center"/>
          </w:tcPr>
          <w:p w14:paraId="2C1CC09B" w14:textId="77777777" w:rsidR="00F537CA" w:rsidRPr="000A2604" w:rsidRDefault="00F537CA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  <w:bCs/>
                <w:i/>
                <w:iCs/>
              </w:rPr>
              <w:t>n</w:t>
            </w:r>
          </w:p>
        </w:tc>
        <w:tc>
          <w:tcPr>
            <w:tcW w:w="420" w:type="pct"/>
            <w:vAlign w:val="center"/>
          </w:tcPr>
          <w:p w14:paraId="6615D3C5" w14:textId="583D2A95" w:rsidR="00F537CA" w:rsidRPr="000A2604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</w:rPr>
              <w:t>Ortalama</w:t>
            </w:r>
          </w:p>
        </w:tc>
        <w:tc>
          <w:tcPr>
            <w:tcW w:w="500" w:type="pct"/>
            <w:vAlign w:val="center"/>
          </w:tcPr>
          <w:p w14:paraId="6E6A281F" w14:textId="64DC7039" w:rsidR="00F537CA" w:rsidRPr="000A2604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</w:rPr>
              <w:t>Yüzde</w:t>
            </w:r>
            <w:r w:rsidR="00F537CA"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(%)</w:t>
            </w:r>
          </w:p>
        </w:tc>
      </w:tr>
      <w:tr w:rsidR="00CA0918" w:rsidRPr="000A2604" w14:paraId="7817EAE7" w14:textId="77777777" w:rsidTr="000A2604">
        <w:tc>
          <w:tcPr>
            <w:tcW w:w="626" w:type="pct"/>
            <w:vAlign w:val="center"/>
          </w:tcPr>
          <w:p w14:paraId="752C7F53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  <w:r w:rsidRPr="009B558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89" w:type="pct"/>
            <w:vAlign w:val="center"/>
          </w:tcPr>
          <w:p w14:paraId="471D96F3" w14:textId="7C79CBCE" w:rsidR="00CA0918" w:rsidRPr="009B5585" w:rsidRDefault="00CA0918" w:rsidP="000A2604">
            <w:pPr>
              <w:jc w:val="both"/>
              <w:rPr>
                <w:rFonts w:ascii="Times New Roman" w:hAnsi="Times New Roman"/>
                <w:bCs/>
              </w:rPr>
            </w:pPr>
            <w:r w:rsidRPr="009B5585">
              <w:rPr>
                <w:rFonts w:ascii="Times New Roman" w:hAnsi="Times New Roman"/>
                <w:bCs/>
              </w:rPr>
              <w:t>Kamu Hukuku ve Özel Hukuk alanında temel teorik ve usul bilgilerine sahip olur.</w:t>
            </w:r>
          </w:p>
        </w:tc>
        <w:tc>
          <w:tcPr>
            <w:tcW w:w="365" w:type="pct"/>
            <w:vAlign w:val="center"/>
          </w:tcPr>
          <w:p w14:paraId="5534D599" w14:textId="723EBA40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33</w:t>
            </w:r>
          </w:p>
        </w:tc>
        <w:tc>
          <w:tcPr>
            <w:tcW w:w="420" w:type="pct"/>
            <w:vAlign w:val="center"/>
          </w:tcPr>
          <w:p w14:paraId="66F328F2" w14:textId="5920603A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7,69</w:t>
            </w:r>
          </w:p>
        </w:tc>
        <w:tc>
          <w:tcPr>
            <w:tcW w:w="500" w:type="pct"/>
            <w:vAlign w:val="center"/>
          </w:tcPr>
          <w:p w14:paraId="1976A801" w14:textId="2F76E5A8" w:rsidR="00CA0918" w:rsidRPr="000A2604" w:rsidRDefault="000A2604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76,9</w:t>
            </w:r>
          </w:p>
        </w:tc>
      </w:tr>
      <w:tr w:rsidR="00CA0918" w:rsidRPr="000A2604" w14:paraId="2FE60BA5" w14:textId="77777777" w:rsidTr="000A2604">
        <w:tc>
          <w:tcPr>
            <w:tcW w:w="626" w:type="pct"/>
            <w:vAlign w:val="center"/>
          </w:tcPr>
          <w:p w14:paraId="489B9721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  <w:r w:rsidRPr="009B558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089" w:type="pct"/>
            <w:vAlign w:val="center"/>
          </w:tcPr>
          <w:p w14:paraId="1E5E6535" w14:textId="0475DC50" w:rsidR="00CA0918" w:rsidRPr="009B5585" w:rsidRDefault="00CA0918" w:rsidP="000A2604">
            <w:pPr>
              <w:jc w:val="both"/>
              <w:rPr>
                <w:rFonts w:ascii="Times New Roman" w:hAnsi="Times New Roman"/>
                <w:bCs/>
              </w:rPr>
            </w:pPr>
            <w:r w:rsidRPr="009B5585">
              <w:rPr>
                <w:rFonts w:ascii="Times New Roman" w:hAnsi="Times New Roman"/>
                <w:bCs/>
              </w:rPr>
              <w:t>Hukuk alanının yanında bilişim teknolojileriyle ilgili temel ve güncel teknik bilgileri kullanır.</w:t>
            </w:r>
          </w:p>
        </w:tc>
        <w:tc>
          <w:tcPr>
            <w:tcW w:w="365" w:type="pct"/>
            <w:vAlign w:val="center"/>
          </w:tcPr>
          <w:p w14:paraId="265D65C4" w14:textId="15ADF48C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33</w:t>
            </w:r>
          </w:p>
        </w:tc>
        <w:tc>
          <w:tcPr>
            <w:tcW w:w="420" w:type="pct"/>
            <w:vAlign w:val="center"/>
          </w:tcPr>
          <w:p w14:paraId="6815DCED" w14:textId="38899705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7,51</w:t>
            </w:r>
          </w:p>
        </w:tc>
        <w:tc>
          <w:tcPr>
            <w:tcW w:w="500" w:type="pct"/>
            <w:vAlign w:val="center"/>
          </w:tcPr>
          <w:p w14:paraId="29C9704D" w14:textId="0E4344ED" w:rsidR="00CA0918" w:rsidRPr="000A2604" w:rsidRDefault="000A2604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75,1</w:t>
            </w:r>
          </w:p>
        </w:tc>
      </w:tr>
      <w:tr w:rsidR="00CA0918" w:rsidRPr="000A2604" w14:paraId="0A405CDB" w14:textId="77777777" w:rsidTr="000A2604">
        <w:tc>
          <w:tcPr>
            <w:tcW w:w="626" w:type="pct"/>
            <w:vAlign w:val="center"/>
          </w:tcPr>
          <w:p w14:paraId="27599255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  <w:r w:rsidRPr="009B558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089" w:type="pct"/>
            <w:vAlign w:val="center"/>
          </w:tcPr>
          <w:p w14:paraId="3217F890" w14:textId="1CB426C8" w:rsidR="00CA0918" w:rsidRPr="009B5585" w:rsidRDefault="00CA0918" w:rsidP="000A2604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lang w:val="tr-TR"/>
              </w:rPr>
            </w:pPr>
            <w:r w:rsidRPr="009B5585">
              <w:rPr>
                <w:rFonts w:ascii="Times New Roman" w:hAnsi="Times New Roman"/>
                <w:bCs/>
                <w:color w:val="292B2C"/>
                <w:shd w:val="clear" w:color="auto" w:fill="FFFFFF"/>
              </w:rPr>
              <w:t>Hukuk alanına ilişkin temel ve güncel teknik bilgileri kullanarak karşılaşabileceği sorunlara çözüm önerileri geliştirebilir, bu önerileri sorunun taraflarıyla paylaşabilir ve bu amaçla gerektiğinde ekip oluşturup sorumluluk üstlenebilir.</w:t>
            </w:r>
          </w:p>
        </w:tc>
        <w:tc>
          <w:tcPr>
            <w:tcW w:w="365" w:type="pct"/>
            <w:vAlign w:val="center"/>
          </w:tcPr>
          <w:p w14:paraId="5CA7784A" w14:textId="7771E16D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33</w:t>
            </w:r>
          </w:p>
        </w:tc>
        <w:tc>
          <w:tcPr>
            <w:tcW w:w="420" w:type="pct"/>
            <w:vAlign w:val="center"/>
          </w:tcPr>
          <w:p w14:paraId="1FBE8FC4" w14:textId="117374BC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8,03</w:t>
            </w:r>
          </w:p>
        </w:tc>
        <w:tc>
          <w:tcPr>
            <w:tcW w:w="500" w:type="pct"/>
            <w:vAlign w:val="center"/>
          </w:tcPr>
          <w:p w14:paraId="6C9E26B8" w14:textId="39DE2EB5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80</w:t>
            </w:r>
            <w:r w:rsidR="000A2604"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,3</w:t>
            </w:r>
          </w:p>
        </w:tc>
      </w:tr>
      <w:tr w:rsidR="00CA0918" w:rsidRPr="000A2604" w14:paraId="125F459F" w14:textId="77777777" w:rsidTr="000A2604">
        <w:tc>
          <w:tcPr>
            <w:tcW w:w="626" w:type="pct"/>
            <w:vAlign w:val="center"/>
          </w:tcPr>
          <w:p w14:paraId="6236E259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</w:p>
          <w:p w14:paraId="6E965149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</w:p>
          <w:p w14:paraId="17B95F60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</w:p>
          <w:p w14:paraId="3D8C911C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  <w:r w:rsidRPr="009B558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089" w:type="pct"/>
            <w:vAlign w:val="center"/>
          </w:tcPr>
          <w:p w14:paraId="54A7B198" w14:textId="6A0C20A3" w:rsidR="00CA0918" w:rsidRPr="009B5585" w:rsidRDefault="00CA0918" w:rsidP="000A2604">
            <w:pPr>
              <w:jc w:val="both"/>
              <w:rPr>
                <w:rFonts w:ascii="Times New Roman" w:hAnsi="Times New Roman"/>
                <w:bCs/>
              </w:rPr>
            </w:pPr>
            <w:r w:rsidRPr="009B5585">
              <w:rPr>
                <w:rFonts w:ascii="Times New Roman" w:hAnsi="Times New Roman"/>
                <w:bCs/>
                <w:color w:val="292B2C"/>
                <w:shd w:val="clear" w:color="auto" w:fill="FFFFFF"/>
              </w:rPr>
              <w:t>Hukuk ile ilgili bilgilere ulaşma, işe yarayanlarını seçme, anlama, yorumlama ve kullanma becerilerini geliştirerek öğrenmeyi öğrenir ve yaşam boyu uygulayabilir.</w:t>
            </w:r>
          </w:p>
        </w:tc>
        <w:tc>
          <w:tcPr>
            <w:tcW w:w="365" w:type="pct"/>
            <w:vAlign w:val="center"/>
          </w:tcPr>
          <w:p w14:paraId="4054E691" w14:textId="07127597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33</w:t>
            </w:r>
          </w:p>
        </w:tc>
        <w:tc>
          <w:tcPr>
            <w:tcW w:w="420" w:type="pct"/>
            <w:vAlign w:val="center"/>
          </w:tcPr>
          <w:p w14:paraId="141E140F" w14:textId="15520294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7,93</w:t>
            </w:r>
          </w:p>
        </w:tc>
        <w:tc>
          <w:tcPr>
            <w:tcW w:w="500" w:type="pct"/>
            <w:vAlign w:val="center"/>
          </w:tcPr>
          <w:p w14:paraId="60F42C95" w14:textId="4E601E92" w:rsidR="00CA0918" w:rsidRPr="000A2604" w:rsidRDefault="000A2604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79,3</w:t>
            </w:r>
          </w:p>
        </w:tc>
      </w:tr>
      <w:tr w:rsidR="00CA0918" w:rsidRPr="000A2604" w14:paraId="2FFE8E7C" w14:textId="77777777" w:rsidTr="000A2604">
        <w:tc>
          <w:tcPr>
            <w:tcW w:w="626" w:type="pct"/>
            <w:vAlign w:val="center"/>
          </w:tcPr>
          <w:p w14:paraId="6BFE910B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  <w:r w:rsidRPr="009B558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89" w:type="pct"/>
            <w:vAlign w:val="center"/>
          </w:tcPr>
          <w:p w14:paraId="033A686B" w14:textId="78D2DFC9" w:rsidR="00CA0918" w:rsidRPr="009B5585" w:rsidRDefault="00CA0918" w:rsidP="000A2604">
            <w:pPr>
              <w:jc w:val="both"/>
              <w:rPr>
                <w:rFonts w:ascii="Times New Roman" w:hAnsi="Times New Roman"/>
                <w:bCs/>
              </w:rPr>
            </w:pPr>
            <w:r w:rsidRPr="009B5585">
              <w:rPr>
                <w:rFonts w:ascii="Times New Roman" w:hAnsi="Times New Roman"/>
                <w:bCs/>
                <w:color w:val="292B2C"/>
                <w:shd w:val="clear" w:color="auto" w:fill="FFFFFF"/>
              </w:rPr>
              <w:t>Meslektaşları ile hukuk konularında Türkçe ve öngörülen düzeyde İngilizce olarak yazılı ve sözlü ve iletişim kurabilir.</w:t>
            </w:r>
          </w:p>
        </w:tc>
        <w:tc>
          <w:tcPr>
            <w:tcW w:w="365" w:type="pct"/>
            <w:vAlign w:val="center"/>
          </w:tcPr>
          <w:p w14:paraId="72C48911" w14:textId="2D9C572F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33</w:t>
            </w:r>
          </w:p>
        </w:tc>
        <w:tc>
          <w:tcPr>
            <w:tcW w:w="420" w:type="pct"/>
            <w:vAlign w:val="center"/>
          </w:tcPr>
          <w:p w14:paraId="78CB33DB" w14:textId="063996AD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6,90</w:t>
            </w:r>
          </w:p>
        </w:tc>
        <w:tc>
          <w:tcPr>
            <w:tcW w:w="500" w:type="pct"/>
            <w:vAlign w:val="center"/>
          </w:tcPr>
          <w:p w14:paraId="269151DF" w14:textId="4558B565" w:rsidR="00CA0918" w:rsidRPr="000A2604" w:rsidRDefault="000A2604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69</w:t>
            </w:r>
            <w:r w:rsidR="006A071B">
              <w:rPr>
                <w:rFonts w:ascii="Times New Roman" w:hAnsi="Times New Roman"/>
                <w:bCs/>
                <w:i/>
                <w:iCs/>
                <w:color w:val="000000"/>
              </w:rPr>
              <w:t>,0</w:t>
            </w:r>
          </w:p>
        </w:tc>
      </w:tr>
      <w:tr w:rsidR="00CA0918" w:rsidRPr="000A2604" w14:paraId="7C361D80" w14:textId="77777777" w:rsidTr="000A2604">
        <w:tc>
          <w:tcPr>
            <w:tcW w:w="626" w:type="pct"/>
            <w:vAlign w:val="center"/>
          </w:tcPr>
          <w:p w14:paraId="53AD06E8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  <w:r w:rsidRPr="009B558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089" w:type="pct"/>
            <w:vAlign w:val="center"/>
          </w:tcPr>
          <w:p w14:paraId="2FEEE6A5" w14:textId="10509723" w:rsidR="00CA0918" w:rsidRPr="009B5585" w:rsidRDefault="00CA0918" w:rsidP="000A2604">
            <w:pPr>
              <w:jc w:val="both"/>
              <w:rPr>
                <w:rFonts w:ascii="Times New Roman" w:hAnsi="Times New Roman"/>
                <w:bCs/>
              </w:rPr>
            </w:pPr>
            <w:r w:rsidRPr="009B5585">
              <w:rPr>
                <w:rFonts w:ascii="Times New Roman" w:hAnsi="Times New Roman"/>
                <w:bCs/>
                <w:color w:val="292B2C"/>
                <w:shd w:val="clear" w:color="auto" w:fill="FFFFFF"/>
              </w:rPr>
              <w:t>Avrupa Dil Portfoyü A2 Genel Düzeyinde İngilizce kullanarak hukuk/adli alanındaki bilgileri izleyebilir.</w:t>
            </w:r>
          </w:p>
        </w:tc>
        <w:tc>
          <w:tcPr>
            <w:tcW w:w="365" w:type="pct"/>
            <w:vAlign w:val="center"/>
          </w:tcPr>
          <w:p w14:paraId="7B132526" w14:textId="065D524D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33</w:t>
            </w:r>
          </w:p>
        </w:tc>
        <w:tc>
          <w:tcPr>
            <w:tcW w:w="420" w:type="pct"/>
            <w:vAlign w:val="center"/>
          </w:tcPr>
          <w:p w14:paraId="28852183" w14:textId="6A561315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7,12</w:t>
            </w:r>
          </w:p>
        </w:tc>
        <w:tc>
          <w:tcPr>
            <w:tcW w:w="500" w:type="pct"/>
            <w:vAlign w:val="center"/>
          </w:tcPr>
          <w:p w14:paraId="16635810" w14:textId="35349681" w:rsidR="00CA0918" w:rsidRPr="000A2604" w:rsidRDefault="000A2604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71,2</w:t>
            </w:r>
          </w:p>
        </w:tc>
      </w:tr>
      <w:tr w:rsidR="00CA0918" w:rsidRPr="000A2604" w14:paraId="4C16CBD9" w14:textId="77777777" w:rsidTr="000A2604">
        <w:tc>
          <w:tcPr>
            <w:tcW w:w="626" w:type="pct"/>
            <w:vAlign w:val="center"/>
          </w:tcPr>
          <w:p w14:paraId="4316A07A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  <w:r w:rsidRPr="009B558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089" w:type="pct"/>
            <w:vAlign w:val="center"/>
          </w:tcPr>
          <w:p w14:paraId="525552F7" w14:textId="69927DEC" w:rsidR="00CA0918" w:rsidRPr="009B5585" w:rsidRDefault="00CA0918" w:rsidP="000A2604">
            <w:pPr>
              <w:jc w:val="both"/>
              <w:rPr>
                <w:rFonts w:ascii="Times New Roman" w:eastAsia="Times New Roman" w:hAnsi="Times New Roman"/>
                <w:bCs/>
                <w:lang w:val="tr-TR"/>
              </w:rPr>
            </w:pPr>
            <w:r w:rsidRPr="009B5585">
              <w:rPr>
                <w:rFonts w:ascii="Times New Roman" w:hAnsi="Times New Roman"/>
                <w:bCs/>
                <w:color w:val="292B2C"/>
                <w:shd w:val="clear" w:color="auto" w:fill="FFFFFF"/>
              </w:rPr>
              <w:t>Avrupa Bilgisayar Kullanma Lisansı Temel düzeyinde bilgisayar yazılımı ile birlikte adli alana özgü bilişim ve iletişim teknolojilerini kullanır.</w:t>
            </w:r>
          </w:p>
        </w:tc>
        <w:tc>
          <w:tcPr>
            <w:tcW w:w="365" w:type="pct"/>
            <w:vAlign w:val="center"/>
          </w:tcPr>
          <w:p w14:paraId="2E5CBD26" w14:textId="1F117538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33</w:t>
            </w:r>
          </w:p>
        </w:tc>
        <w:tc>
          <w:tcPr>
            <w:tcW w:w="420" w:type="pct"/>
            <w:vAlign w:val="center"/>
          </w:tcPr>
          <w:p w14:paraId="36D13877" w14:textId="0326FB3A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7,45</w:t>
            </w:r>
          </w:p>
        </w:tc>
        <w:tc>
          <w:tcPr>
            <w:tcW w:w="500" w:type="pct"/>
            <w:vAlign w:val="center"/>
          </w:tcPr>
          <w:p w14:paraId="13700905" w14:textId="0D6A06ED" w:rsidR="00CA0918" w:rsidRPr="000A2604" w:rsidRDefault="000A2604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74,5</w:t>
            </w:r>
          </w:p>
        </w:tc>
      </w:tr>
      <w:tr w:rsidR="00CA0918" w:rsidRPr="000A2604" w14:paraId="4A27BD7D" w14:textId="77777777" w:rsidTr="000A2604">
        <w:tc>
          <w:tcPr>
            <w:tcW w:w="626" w:type="pct"/>
            <w:vAlign w:val="center"/>
          </w:tcPr>
          <w:p w14:paraId="2197252B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  <w:r w:rsidRPr="009B558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089" w:type="pct"/>
            <w:vAlign w:val="center"/>
          </w:tcPr>
          <w:p w14:paraId="593831FC" w14:textId="3A28A19B" w:rsidR="00CA0918" w:rsidRPr="009B5585" w:rsidRDefault="00CA0918" w:rsidP="000A2604">
            <w:pPr>
              <w:jc w:val="both"/>
              <w:rPr>
                <w:rFonts w:ascii="Times New Roman" w:hAnsi="Times New Roman"/>
                <w:bCs/>
                <w:lang w:val="tr-TR"/>
              </w:rPr>
            </w:pPr>
            <w:r w:rsidRPr="009B5585">
              <w:rPr>
                <w:rFonts w:ascii="Times New Roman" w:hAnsi="Times New Roman"/>
                <w:bCs/>
                <w:color w:val="292B2C"/>
                <w:shd w:val="clear" w:color="auto" w:fill="FFFFFF"/>
              </w:rPr>
              <w:t>Hukuk/adli konular ile ilgili verilerin toplanması, işlenmesi ve sonuçlarının duyurulması aşamalarında toplumsal, bilimsel, kültürel ve etik değerlere uygun davranır.</w:t>
            </w:r>
          </w:p>
        </w:tc>
        <w:tc>
          <w:tcPr>
            <w:tcW w:w="365" w:type="pct"/>
            <w:vAlign w:val="center"/>
          </w:tcPr>
          <w:p w14:paraId="5BE2843C" w14:textId="28130DEB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33</w:t>
            </w:r>
          </w:p>
        </w:tc>
        <w:tc>
          <w:tcPr>
            <w:tcW w:w="420" w:type="pct"/>
            <w:vAlign w:val="center"/>
          </w:tcPr>
          <w:p w14:paraId="1BF7DD06" w14:textId="09809772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8,24</w:t>
            </w:r>
          </w:p>
        </w:tc>
        <w:tc>
          <w:tcPr>
            <w:tcW w:w="500" w:type="pct"/>
            <w:vAlign w:val="center"/>
          </w:tcPr>
          <w:p w14:paraId="0EE6DFE3" w14:textId="56F6FED4" w:rsidR="00CA0918" w:rsidRPr="000A2604" w:rsidRDefault="000A2604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82,4</w:t>
            </w:r>
          </w:p>
        </w:tc>
      </w:tr>
      <w:tr w:rsidR="00CA0918" w:rsidRPr="000A2604" w14:paraId="421B90E0" w14:textId="77777777" w:rsidTr="000A2604">
        <w:tc>
          <w:tcPr>
            <w:tcW w:w="626" w:type="pct"/>
            <w:vAlign w:val="center"/>
          </w:tcPr>
          <w:p w14:paraId="719D3CD3" w14:textId="77777777" w:rsidR="00CA0918" w:rsidRPr="009B5585" w:rsidRDefault="00CA0918" w:rsidP="000A2604">
            <w:pPr>
              <w:jc w:val="center"/>
              <w:rPr>
                <w:rFonts w:ascii="Times New Roman" w:hAnsi="Times New Roman"/>
                <w:b/>
              </w:rPr>
            </w:pPr>
            <w:r w:rsidRPr="009B558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089" w:type="pct"/>
            <w:vAlign w:val="center"/>
          </w:tcPr>
          <w:p w14:paraId="23C5D147" w14:textId="22DDA161" w:rsidR="00CA0918" w:rsidRPr="009B5585" w:rsidRDefault="00CA0918" w:rsidP="000A2604">
            <w:pPr>
              <w:jc w:val="both"/>
              <w:rPr>
                <w:rFonts w:ascii="Times New Roman" w:hAnsi="Times New Roman"/>
                <w:bCs/>
              </w:rPr>
            </w:pPr>
            <w:r w:rsidRPr="009B5585">
              <w:rPr>
                <w:rFonts w:ascii="Times New Roman" w:hAnsi="Times New Roman"/>
                <w:bCs/>
                <w:color w:val="292B2C"/>
                <w:shd w:val="clear" w:color="auto" w:fill="FFFFFF"/>
              </w:rPr>
              <w:t>Sosyal hakların evrenselliği, sosyal adalet, kalite ve kültürel değerler, işçi sağlığı ve güvenliği ile çevre koruma bilincine sahip olur.</w:t>
            </w:r>
          </w:p>
        </w:tc>
        <w:tc>
          <w:tcPr>
            <w:tcW w:w="365" w:type="pct"/>
            <w:vAlign w:val="center"/>
          </w:tcPr>
          <w:p w14:paraId="76FA5EDD" w14:textId="54D3B700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33</w:t>
            </w:r>
          </w:p>
        </w:tc>
        <w:tc>
          <w:tcPr>
            <w:tcW w:w="420" w:type="pct"/>
            <w:vAlign w:val="center"/>
          </w:tcPr>
          <w:p w14:paraId="7E164ED3" w14:textId="253EACD0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8,24</w:t>
            </w:r>
          </w:p>
        </w:tc>
        <w:tc>
          <w:tcPr>
            <w:tcW w:w="500" w:type="pct"/>
            <w:vAlign w:val="center"/>
          </w:tcPr>
          <w:p w14:paraId="38DAEF50" w14:textId="37CFD491" w:rsidR="00CA0918" w:rsidRPr="000A2604" w:rsidRDefault="000A2604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  <w:bCs/>
                <w:i/>
                <w:iCs/>
                <w:color w:val="000000"/>
              </w:rPr>
              <w:t>82,4</w:t>
            </w:r>
          </w:p>
        </w:tc>
      </w:tr>
      <w:tr w:rsidR="00CA0918" w:rsidRPr="000A2604" w14:paraId="0E54991D" w14:textId="77777777" w:rsidTr="000A2604">
        <w:tc>
          <w:tcPr>
            <w:tcW w:w="3714" w:type="pct"/>
            <w:gridSpan w:val="2"/>
            <w:vAlign w:val="center"/>
          </w:tcPr>
          <w:p w14:paraId="3691BFC9" w14:textId="7EC2D7D4" w:rsidR="00CA0918" w:rsidRPr="000A2604" w:rsidRDefault="00CA0918" w:rsidP="000A2604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0A2604">
              <w:rPr>
                <w:rFonts w:ascii="Times New Roman" w:hAnsi="Times New Roman"/>
                <w:b/>
              </w:rPr>
              <w:t>Genel ortalama</w:t>
            </w:r>
          </w:p>
        </w:tc>
        <w:tc>
          <w:tcPr>
            <w:tcW w:w="365" w:type="pct"/>
            <w:vAlign w:val="center"/>
          </w:tcPr>
          <w:p w14:paraId="107756C4" w14:textId="77777777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420" w:type="pct"/>
            <w:vAlign w:val="center"/>
          </w:tcPr>
          <w:p w14:paraId="4D486163" w14:textId="544BE433" w:rsidR="00CA0918" w:rsidRPr="000A2604" w:rsidRDefault="00CA0918" w:rsidP="000A2604">
            <w:pPr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0A2604">
              <w:rPr>
                <w:rFonts w:ascii="Times New Roman" w:hAnsi="Times New Roman"/>
              </w:rPr>
              <w:t>7,68</w:t>
            </w:r>
          </w:p>
        </w:tc>
        <w:tc>
          <w:tcPr>
            <w:tcW w:w="500" w:type="pct"/>
            <w:vAlign w:val="center"/>
          </w:tcPr>
          <w:p w14:paraId="6CCCF80A" w14:textId="09EDF9F1" w:rsidR="00CA0918" w:rsidRPr="000A2604" w:rsidRDefault="000A2604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A2604">
              <w:rPr>
                <w:rFonts w:ascii="Times New Roman" w:hAnsi="Times New Roman"/>
              </w:rPr>
              <w:t>76,8</w:t>
            </w:r>
          </w:p>
        </w:tc>
      </w:tr>
    </w:tbl>
    <w:p w14:paraId="5E829C37" w14:textId="77777777" w:rsidR="00D73573" w:rsidRPr="00B847E1" w:rsidRDefault="00D73573" w:rsidP="00D7357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3AFCA0A" w14:textId="2B6F9802" w:rsidR="00931D26" w:rsidRDefault="00E24EA7" w:rsidP="00931D2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Adalet programı </w:t>
      </w:r>
      <w:r w:rsidR="00931D26">
        <w:rPr>
          <w:rFonts w:ascii="Times New Roman" w:hAnsi="Times New Roman" w:cs="Times New Roman"/>
          <w:sz w:val="24"/>
          <w:szCs w:val="24"/>
          <w:lang w:val="tr-TR"/>
        </w:rPr>
        <w:t>öğrencilerinin öğrenme or</w:t>
      </w:r>
      <w:r w:rsidR="00820736">
        <w:rPr>
          <w:rFonts w:ascii="Times New Roman" w:hAnsi="Times New Roman" w:cs="Times New Roman"/>
          <w:sz w:val="24"/>
          <w:szCs w:val="24"/>
          <w:lang w:val="tr-TR"/>
        </w:rPr>
        <w:t>tamına ilişkin görüşleri tablo 1</w:t>
      </w:r>
      <w:r w:rsidR="00931D26">
        <w:rPr>
          <w:rFonts w:ascii="Times New Roman" w:hAnsi="Times New Roman" w:cs="Times New Roman"/>
          <w:sz w:val="24"/>
          <w:szCs w:val="24"/>
          <w:lang w:val="tr-TR"/>
        </w:rPr>
        <w:t xml:space="preserve">’de yer almaktadır. Genel olarak </w:t>
      </w:r>
      <w:r w:rsidR="00F537CA">
        <w:rPr>
          <w:rFonts w:ascii="Times New Roman" w:hAnsi="Times New Roman" w:cs="Times New Roman"/>
          <w:sz w:val="24"/>
          <w:szCs w:val="24"/>
          <w:lang w:val="tr-TR"/>
        </w:rPr>
        <w:t>öğrenme hedeflerine ilişkin belirtilen dokuz kriter</w:t>
      </w:r>
      <w:r w:rsidR="00471490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F537CA">
        <w:rPr>
          <w:rFonts w:ascii="Times New Roman" w:hAnsi="Times New Roman" w:cs="Times New Roman"/>
          <w:sz w:val="24"/>
          <w:szCs w:val="24"/>
          <w:lang w:val="tr-TR"/>
        </w:rPr>
        <w:t xml:space="preserve">e ilgili görüşleri </w:t>
      </w:r>
      <w:r w:rsidR="00F537CA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incelendiğinde </w:t>
      </w:r>
      <w:r>
        <w:rPr>
          <w:rFonts w:ascii="Times New Roman" w:hAnsi="Times New Roman" w:cs="Times New Roman"/>
          <w:sz w:val="24"/>
          <w:szCs w:val="24"/>
          <w:lang w:val="tr-TR"/>
        </w:rPr>
        <w:t>çoğu program çıktısı</w:t>
      </w:r>
      <w:r w:rsidR="00F537CA">
        <w:rPr>
          <w:rFonts w:ascii="Times New Roman" w:hAnsi="Times New Roman" w:cs="Times New Roman"/>
          <w:sz w:val="24"/>
          <w:szCs w:val="24"/>
          <w:lang w:val="tr-TR"/>
        </w:rPr>
        <w:t xml:space="preserve"> için</w:t>
      </w:r>
      <w:r w:rsidR="006A071B">
        <w:rPr>
          <w:rFonts w:ascii="Times New Roman" w:hAnsi="Times New Roman" w:cs="Times New Roman"/>
          <w:sz w:val="24"/>
          <w:szCs w:val="24"/>
          <w:lang w:val="tr-TR"/>
        </w:rPr>
        <w:t xml:space="preserve"> hedeflenen oranın (%70) 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>üstünde olduğu görülmüştür</w:t>
      </w:r>
      <w:r w:rsidR="00931D26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F537C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31D26">
        <w:rPr>
          <w:rFonts w:ascii="Times New Roman" w:hAnsi="Times New Roman" w:cs="Times New Roman"/>
          <w:sz w:val="24"/>
          <w:szCs w:val="24"/>
          <w:lang w:val="tr-TR"/>
        </w:rPr>
        <w:t xml:space="preserve">En 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>yüksek puana</w:t>
      </w:r>
      <w:r w:rsidR="00931D26">
        <w:rPr>
          <w:rFonts w:ascii="Times New Roman" w:hAnsi="Times New Roman" w:cs="Times New Roman"/>
          <w:sz w:val="24"/>
          <w:szCs w:val="24"/>
          <w:lang w:val="tr-TR"/>
        </w:rPr>
        <w:t xml:space="preserve"> sahip olan </w:t>
      </w:r>
      <w:r>
        <w:rPr>
          <w:rFonts w:ascii="Times New Roman" w:hAnsi="Times New Roman" w:cs="Times New Roman"/>
          <w:sz w:val="24"/>
          <w:szCs w:val="24"/>
          <w:lang w:val="tr-TR"/>
        </w:rPr>
        <w:t>program çıktıları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sekizinci ve dokuzuncu program çıktılarıdır (</w:t>
      </w:r>
      <w:r w:rsidR="006A071B">
        <w:rPr>
          <w:rFonts w:ascii="Times New Roman" w:hAnsi="Times New Roman" w:cs="Times New Roman"/>
          <w:sz w:val="24"/>
          <w:szCs w:val="24"/>
          <w:lang w:val="tr-TR"/>
        </w:rPr>
        <w:t>%82,4</w:t>
      </w:r>
      <w:r>
        <w:rPr>
          <w:rFonts w:ascii="Times New Roman" w:hAnsi="Times New Roman" w:cs="Times New Roman"/>
          <w:sz w:val="24"/>
          <w:szCs w:val="24"/>
          <w:lang w:val="tr-TR"/>
        </w:rPr>
        <w:t>). En düşük puana sahip program çıktısı ise beşinci program çıktısı “</w:t>
      </w:r>
      <w:r w:rsidRPr="00E24EA7">
        <w:rPr>
          <w:rFonts w:ascii="Times New Roman" w:hAnsi="Times New Roman" w:cs="Times New Roman"/>
          <w:sz w:val="24"/>
          <w:szCs w:val="24"/>
          <w:lang w:val="tr-TR"/>
        </w:rPr>
        <w:t>Meslektaşları ile hukuk konularında Türkçe ve öngörülen düzeyde İngilizce olarak yazılı ve sözlü ve iletişim kurabilir.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r w:rsidR="00F63C1F">
        <w:rPr>
          <w:rFonts w:ascii="Times New Roman" w:hAnsi="Times New Roman" w:cs="Times New Roman"/>
          <w:sz w:val="24"/>
          <w:szCs w:val="24"/>
          <w:lang w:val="tr-TR"/>
        </w:rPr>
        <w:t>dır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6A071B">
        <w:rPr>
          <w:rFonts w:ascii="Times New Roman" w:hAnsi="Times New Roman" w:cs="Times New Roman"/>
          <w:sz w:val="24"/>
          <w:szCs w:val="24"/>
          <w:lang w:val="tr-TR"/>
        </w:rPr>
        <w:t>%69,0</w:t>
      </w:r>
      <w:r>
        <w:rPr>
          <w:rFonts w:ascii="Times New Roman" w:hAnsi="Times New Roman" w:cs="Times New Roman"/>
          <w:sz w:val="24"/>
          <w:szCs w:val="24"/>
          <w:lang w:val="tr-TR"/>
        </w:rPr>
        <w:t>).</w:t>
      </w:r>
    </w:p>
    <w:p w14:paraId="19E6B63B" w14:textId="77777777" w:rsidR="00D73573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2E9ABAF" w14:textId="5AE8F4C3" w:rsidR="00D73573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Tablo 2</w:t>
      </w:r>
      <w:r w:rsidR="000A2604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D73573" w:rsidRPr="00B3559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Öğrenme</w:t>
      </w:r>
      <w:r w:rsidR="00D7357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Ortamına İlişkin Görüşler </w:t>
      </w:r>
      <w:r w:rsidR="00D73573" w:rsidRPr="00CF550B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="000A2604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Adalet Programı</w:t>
      </w:r>
      <w:r w:rsidR="00D73573" w:rsidRPr="00CF550B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6"/>
        <w:gridCol w:w="6275"/>
        <w:gridCol w:w="416"/>
        <w:gridCol w:w="1050"/>
        <w:gridCol w:w="1081"/>
      </w:tblGrid>
      <w:tr w:rsidR="00D73573" w:rsidRPr="000A2604" w14:paraId="10FEEDAD" w14:textId="77777777" w:rsidTr="000A2604">
        <w:trPr>
          <w:trHeight w:val="46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F89" w14:textId="77777777" w:rsidR="00D73573" w:rsidRPr="000A2604" w:rsidRDefault="00D73573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EC5" w14:textId="092B3400" w:rsidR="00D73573" w:rsidRPr="000A2604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Değerlendirme Kriterler</w:t>
            </w:r>
            <w:r w:rsidR="0054677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i</w:t>
            </w:r>
          </w:p>
          <w:p w14:paraId="4EC627A7" w14:textId="77777777" w:rsidR="00D73573" w:rsidRPr="000A2604" w:rsidRDefault="00D73573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1493" w14:textId="77777777" w:rsidR="00D73573" w:rsidRPr="000A2604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1C40" w14:textId="5D7191F3" w:rsidR="00D73573" w:rsidRPr="000A2604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Ortalama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9CB7" w14:textId="0A14DEF7" w:rsidR="00D73573" w:rsidRPr="000A2604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Yüzde </w:t>
            </w:r>
            <w:r w:rsidR="00D73573" w:rsidRPr="000A26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3E6379" w:rsidRPr="000A2604" w14:paraId="672EC8AD" w14:textId="77777777" w:rsidTr="000A2604">
        <w:trPr>
          <w:trHeight w:val="49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D7B" w14:textId="77777777" w:rsidR="003E6379" w:rsidRPr="008948BB" w:rsidRDefault="003E6379" w:rsidP="000A260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B40A" w14:textId="3C39C691" w:rsidR="003E6379" w:rsidRPr="000A2604" w:rsidRDefault="003E6379" w:rsidP="000A260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Öğretim elemanlarının öğretme yöntemleri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AA2" w14:textId="31DB2D7B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8C5" w14:textId="66195D3C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7,84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EB8" w14:textId="0738E201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</w:t>
            </w:r>
          </w:p>
        </w:tc>
      </w:tr>
      <w:tr w:rsidR="003E6379" w:rsidRPr="000A2604" w14:paraId="4EB283CD" w14:textId="77777777" w:rsidTr="000A2604">
        <w:trPr>
          <w:trHeight w:val="46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AE7" w14:textId="77777777" w:rsidR="003E6379" w:rsidRPr="008948BB" w:rsidRDefault="003E6379" w:rsidP="000A260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B289" w14:textId="0F838A16" w:rsidR="003E6379" w:rsidRPr="000A2604" w:rsidRDefault="003E6379" w:rsidP="000A260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Adalet bölüm danışmanlığı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13E" w14:textId="1FFF4010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F617" w14:textId="397C8B57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7,81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909" w14:textId="35AB7DE4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78,1</w:t>
            </w:r>
          </w:p>
        </w:tc>
      </w:tr>
      <w:tr w:rsidR="003E6379" w:rsidRPr="000A2604" w14:paraId="7FEF3D8A" w14:textId="77777777" w:rsidTr="000A2604">
        <w:trPr>
          <w:trHeight w:val="49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EE4" w14:textId="77777777" w:rsidR="003E6379" w:rsidRPr="008948BB" w:rsidRDefault="003E6379" w:rsidP="000A260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  <w:p w14:paraId="46B48E7D" w14:textId="77777777" w:rsidR="003E6379" w:rsidRPr="008948BB" w:rsidRDefault="003E6379" w:rsidP="000A260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D33" w14:textId="44552690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Adalet bölümünde yer alan derslerin Müfredatı (içeriği)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48F" w14:textId="03C18635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348" w14:textId="79FA4A9D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8,06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920" w14:textId="497382AA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</w:tr>
      <w:tr w:rsidR="003E6379" w:rsidRPr="000A2604" w14:paraId="5BC006E6" w14:textId="77777777" w:rsidTr="000A2604">
        <w:trPr>
          <w:trHeight w:val="49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AD4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C98" w14:textId="11B54179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Öğrenim gördüğüm önlisans programında okutulan derslerin kariyer hedeflerim ve ileriki çalışmalarımla ilişki düzeyi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1D4" w14:textId="4EF1E0D4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4BE" w14:textId="6ECF046D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7,97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5BE" w14:textId="2D4D93EE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</w:t>
            </w:r>
          </w:p>
        </w:tc>
      </w:tr>
      <w:tr w:rsidR="003E6379" w:rsidRPr="000A2604" w14:paraId="7283AE2E" w14:textId="77777777" w:rsidTr="000A2604">
        <w:trPr>
          <w:trHeight w:val="25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D54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BF4F" w14:textId="719D8CA8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Ders programımdaki derslerin çeşitliliği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3D7" w14:textId="4A19D278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649" w14:textId="16E9B44C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DCB" w14:textId="630B1028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F67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3E6379" w:rsidRPr="000A2604" w14:paraId="151EC11E" w14:textId="77777777" w:rsidTr="000A2604">
        <w:trPr>
          <w:trHeight w:val="20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05B5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947" w14:textId="4429F0BB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Dersi alan sınıftaki öğrenci sayısı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18B" w14:textId="75B77190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CA" w14:textId="1EB69443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6,90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84F" w14:textId="20F81755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F672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3E6379" w:rsidRPr="000A2604" w14:paraId="5F09D088" w14:textId="77777777" w:rsidTr="000A2604">
        <w:trPr>
          <w:trHeight w:val="49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5D62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6F5D" w14:textId="18051EC3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Görüşme saatlerinde Öğretim elemanlarına ulaşabilme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8CD" w14:textId="401AB95C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E64" w14:textId="4FAF51A4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7,27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E13" w14:textId="5EF0E7EB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</w:tr>
      <w:tr w:rsidR="003E6379" w:rsidRPr="000A2604" w14:paraId="1A0612DE" w14:textId="77777777" w:rsidTr="000A2604">
        <w:trPr>
          <w:trHeight w:val="28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540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4AE" w14:textId="1779D6BD" w:rsidR="003E6379" w:rsidRPr="000A2604" w:rsidRDefault="003E6379" w:rsidP="000A260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Sınıfların ve Sanal Sınıfların Altyapı Yeterliliği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2C67" w14:textId="7E49F6B9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231" w14:textId="13DBE0F0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6,63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32D" w14:textId="1566F244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</w:t>
            </w:r>
          </w:p>
        </w:tc>
      </w:tr>
      <w:tr w:rsidR="003E6379" w:rsidRPr="000A2604" w14:paraId="4762F97E" w14:textId="77777777" w:rsidTr="000A2604">
        <w:trPr>
          <w:trHeight w:val="27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86FE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EE4" w14:textId="382FD778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Ders Materyalleri ve Yeni Teknolojik kaynakların kullanımı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AF7" w14:textId="527538A6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347" w14:textId="7551214A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7,15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3D9" w14:textId="614076BF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</w:tc>
      </w:tr>
      <w:tr w:rsidR="003E6379" w:rsidRPr="000A2604" w14:paraId="43970DEB" w14:textId="77777777" w:rsidTr="000A2604">
        <w:trPr>
          <w:trHeight w:val="49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290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559" w14:textId="5F371B25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Adalet alanıyla ilgili Kütüphane Kaynakları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24D" w14:textId="24FFC1DF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BF0" w14:textId="44770660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7,36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978" w14:textId="6EF674A7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73,6</w:t>
            </w:r>
          </w:p>
        </w:tc>
      </w:tr>
      <w:tr w:rsidR="003E6379" w:rsidRPr="000A2604" w14:paraId="7030734A" w14:textId="77777777" w:rsidTr="000A2604">
        <w:trPr>
          <w:trHeight w:val="49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B99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2D48" w14:textId="43369179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Kariyer Danışmanlığı/Planlama/ işe Yerleştirme Hizmetleri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5E9" w14:textId="30F07876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DB3" w14:textId="253C5955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7,51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C64" w14:textId="1718C9A8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75,1</w:t>
            </w:r>
          </w:p>
        </w:tc>
      </w:tr>
      <w:tr w:rsidR="003E6379" w:rsidRPr="000A2604" w14:paraId="4E803821" w14:textId="77777777" w:rsidTr="000A2604">
        <w:trPr>
          <w:trHeight w:val="24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B5B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2412" w14:textId="1F77AB45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Öğrenci Organizasyonları ve Kulüpleri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15A" w14:textId="7AB8E9B8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93A" w14:textId="173BDE29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69E" w14:textId="02138B76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70,3</w:t>
            </w:r>
          </w:p>
        </w:tc>
      </w:tr>
      <w:tr w:rsidR="003E6379" w:rsidRPr="000A2604" w14:paraId="6E839E38" w14:textId="77777777" w:rsidTr="000A2604">
        <w:trPr>
          <w:trHeight w:val="49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4B0" w14:textId="77777777" w:rsidR="003E6379" w:rsidRPr="008948BB" w:rsidRDefault="003E6379" w:rsidP="000A2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BB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097" w14:textId="4CF24783" w:rsidR="003E6379" w:rsidRPr="000A2604" w:rsidRDefault="003E6379" w:rsidP="000A2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Adalet Bölümünün Genel Kalitesi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3BA" w14:textId="33D221B1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C5D" w14:textId="6EC67AEC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7,93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4CC" w14:textId="0F3ADC57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79,3</w:t>
            </w:r>
          </w:p>
        </w:tc>
      </w:tr>
      <w:tr w:rsidR="003E6379" w:rsidRPr="000A2604" w14:paraId="126CB7E6" w14:textId="77777777" w:rsidTr="000A2604">
        <w:trPr>
          <w:trHeight w:val="23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AB4" w14:textId="77777777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85A4" w14:textId="778CD845" w:rsidR="003E6379" w:rsidRPr="000A2604" w:rsidRDefault="000A2604" w:rsidP="000A26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Ortalama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501" w14:textId="733AFFFF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E17" w14:textId="2E33E17F" w:rsidR="003E6379" w:rsidRPr="000A2604" w:rsidRDefault="003E6379" w:rsidP="000A26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>7,68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D352" w14:textId="334E838C" w:rsidR="003E6379" w:rsidRPr="000A2604" w:rsidRDefault="000A2604" w:rsidP="000A260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76,8</w:t>
            </w:r>
          </w:p>
        </w:tc>
      </w:tr>
    </w:tbl>
    <w:p w14:paraId="6FD7B47D" w14:textId="77777777" w:rsidR="00820736" w:rsidRDefault="0082073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134199E" w14:textId="3C74A3ED" w:rsidR="000A2604" w:rsidRDefault="00931D2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E2D83">
        <w:rPr>
          <w:rFonts w:ascii="Times New Roman" w:hAnsi="Times New Roman" w:cs="Times New Roman"/>
          <w:sz w:val="24"/>
          <w:szCs w:val="24"/>
          <w:lang w:val="tr-TR"/>
        </w:rPr>
        <w:t xml:space="preserve">Öğrencilerin öğrenme ortamına ilişkin görüşlerinin dağılımları incelendiğinde </w:t>
      </w:r>
      <w:r w:rsidR="00A42AB9" w:rsidRPr="008E2D83">
        <w:rPr>
          <w:rFonts w:ascii="Times New Roman" w:hAnsi="Times New Roman" w:cs="Times New Roman"/>
          <w:sz w:val="24"/>
          <w:szCs w:val="24"/>
          <w:lang w:val="tr-TR"/>
        </w:rPr>
        <w:t>genel ortalamanın (</w:t>
      </w:r>
      <w:r w:rsidR="008E2D83" w:rsidRPr="008E2D83">
        <w:rPr>
          <w:rFonts w:ascii="Times New Roman" w:hAnsi="Times New Roman" w:cs="Times New Roman"/>
          <w:sz w:val="24"/>
          <w:szCs w:val="24"/>
          <w:lang w:val="tr-TR"/>
        </w:rPr>
        <w:t>%</w:t>
      </w:r>
      <w:r w:rsidR="008948BB">
        <w:rPr>
          <w:rFonts w:ascii="Times New Roman" w:hAnsi="Times New Roman" w:cs="Times New Roman"/>
          <w:sz w:val="24"/>
          <w:szCs w:val="24"/>
          <w:lang w:val="tr-TR"/>
        </w:rPr>
        <w:t>76,8</w:t>
      </w:r>
      <w:r w:rsidR="00B6675F">
        <w:rPr>
          <w:rFonts w:ascii="Times New Roman" w:hAnsi="Times New Roman" w:cs="Times New Roman"/>
          <w:sz w:val="24"/>
          <w:szCs w:val="24"/>
          <w:lang w:val="tr-TR"/>
        </w:rPr>
        <w:t>) ile</w:t>
      </w:r>
      <w:r w:rsidR="00FC6387" w:rsidRPr="008E2D83">
        <w:rPr>
          <w:rFonts w:ascii="Times New Roman" w:hAnsi="Times New Roman" w:cs="Times New Roman"/>
          <w:sz w:val="24"/>
          <w:szCs w:val="24"/>
          <w:lang w:val="tr-TR"/>
        </w:rPr>
        <w:t xml:space="preserve"> hedeflenen</w:t>
      </w:r>
      <w:r w:rsidR="00A42AB9" w:rsidRPr="008E2D83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C6387" w:rsidRPr="008E2D83">
        <w:rPr>
          <w:rFonts w:ascii="Times New Roman" w:hAnsi="Times New Roman" w:cs="Times New Roman"/>
          <w:sz w:val="24"/>
          <w:szCs w:val="24"/>
          <w:lang w:val="tr-TR"/>
        </w:rPr>
        <w:t>%70</w:t>
      </w:r>
      <w:r w:rsidR="00A42AB9" w:rsidRPr="008E2D83">
        <w:rPr>
          <w:rFonts w:ascii="Times New Roman" w:hAnsi="Times New Roman" w:cs="Times New Roman"/>
          <w:sz w:val="24"/>
          <w:szCs w:val="24"/>
          <w:lang w:val="tr-TR"/>
        </w:rPr>
        <w:t xml:space="preserve">) oranın üstünde </w:t>
      </w:r>
      <w:r w:rsidR="00BD5680">
        <w:rPr>
          <w:rFonts w:ascii="Times New Roman" w:hAnsi="Times New Roman" w:cs="Times New Roman"/>
          <w:sz w:val="24"/>
          <w:szCs w:val="24"/>
          <w:lang w:val="tr-TR"/>
        </w:rPr>
        <w:t xml:space="preserve">olduğu </w:t>
      </w:r>
      <w:r w:rsidR="00BD5680" w:rsidRPr="008E2D83">
        <w:rPr>
          <w:rFonts w:ascii="Times New Roman" w:hAnsi="Times New Roman" w:cs="Times New Roman"/>
          <w:sz w:val="24"/>
          <w:szCs w:val="24"/>
          <w:lang w:val="tr-TR"/>
        </w:rPr>
        <w:t>görülmektedir</w:t>
      </w:r>
      <w:r w:rsidR="00FC6387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A70FD5">
        <w:rPr>
          <w:rFonts w:ascii="Times New Roman" w:hAnsi="Times New Roman" w:cs="Times New Roman"/>
          <w:sz w:val="24"/>
          <w:szCs w:val="24"/>
          <w:lang w:val="tr-TR"/>
        </w:rPr>
        <w:t xml:space="preserve"> Özellikle öğrenciler, </w:t>
      </w:r>
      <w:r w:rsidR="008948BB">
        <w:rPr>
          <w:rFonts w:ascii="Times New Roman" w:hAnsi="Times New Roman" w:cs="Times New Roman"/>
          <w:sz w:val="24"/>
          <w:szCs w:val="24"/>
          <w:lang w:val="tr-TR"/>
        </w:rPr>
        <w:t>adalet programının ders içeriklerinden yüksek düzeyde memnun olduklarını ifade etmişlerdir (%80,6). Yine öğrenciler program danışmanlarından da yüksek düzeyde memnun olduklarını belirtmişlerdir (%78,1).</w:t>
      </w:r>
      <w:r w:rsidR="00654871">
        <w:rPr>
          <w:rFonts w:ascii="Times New Roman" w:hAnsi="Times New Roman" w:cs="Times New Roman"/>
          <w:sz w:val="24"/>
          <w:szCs w:val="24"/>
          <w:lang w:val="tr-TR"/>
        </w:rPr>
        <w:t xml:space="preserve"> Yalnızca sınıfların ve sanal sınıfların </w:t>
      </w:r>
      <w:r w:rsidR="009E0549">
        <w:rPr>
          <w:rFonts w:ascii="Times New Roman" w:hAnsi="Times New Roman" w:cs="Times New Roman"/>
          <w:sz w:val="24"/>
          <w:szCs w:val="24"/>
          <w:lang w:val="tr-TR"/>
        </w:rPr>
        <w:t>yeterliliği</w:t>
      </w:r>
      <w:r w:rsidR="00654871">
        <w:rPr>
          <w:rFonts w:ascii="Times New Roman" w:hAnsi="Times New Roman" w:cs="Times New Roman"/>
          <w:sz w:val="24"/>
          <w:szCs w:val="24"/>
          <w:lang w:val="tr-TR"/>
        </w:rPr>
        <w:t xml:space="preserve"> konusunda diğer kriterlere göre daha düşük düzeyde memnuniyet görülmektedir (%66,3).</w:t>
      </w:r>
      <w:r w:rsidR="002E6F5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344AE80B" w14:textId="2CFD344D" w:rsidR="000C48AD" w:rsidRDefault="000A2604" w:rsidP="000A2604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br w:type="page"/>
      </w:r>
    </w:p>
    <w:p w14:paraId="343D10C3" w14:textId="4D879575" w:rsidR="00D73573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A2604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Tablo 3</w:t>
      </w:r>
      <w:r w:rsidR="000A2604" w:rsidRPr="000A2604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="00D7357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9B3D9D">
        <w:rPr>
          <w:rFonts w:ascii="Times New Roman" w:hAnsi="Times New Roman" w:cs="Times New Roman"/>
          <w:b/>
          <w:sz w:val="24"/>
          <w:szCs w:val="24"/>
          <w:lang w:val="tr-TR"/>
        </w:rPr>
        <w:t>Açık Uçlu Sorula</w:t>
      </w:r>
      <w:r w:rsidR="00D73573">
        <w:rPr>
          <w:rFonts w:ascii="Times New Roman" w:hAnsi="Times New Roman" w:cs="Times New Roman"/>
          <w:b/>
          <w:sz w:val="24"/>
          <w:szCs w:val="24"/>
          <w:lang w:val="tr-TR"/>
        </w:rPr>
        <w:t>ra İliş</w:t>
      </w:r>
      <w:r w:rsidR="00D73573" w:rsidRPr="009B3D9D">
        <w:rPr>
          <w:rFonts w:ascii="Times New Roman" w:hAnsi="Times New Roman" w:cs="Times New Roman"/>
          <w:b/>
          <w:sz w:val="24"/>
          <w:szCs w:val="24"/>
          <w:lang w:val="tr-TR"/>
        </w:rPr>
        <w:t>kin Öğrenci Görüşlerinin Özeti</w:t>
      </w:r>
      <w:r w:rsidR="00D7357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D73573" w:rsidRPr="00CF550B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="000A2604">
        <w:rPr>
          <w:rFonts w:ascii="Times New Roman" w:hAnsi="Times New Roman" w:cs="Times New Roman"/>
          <w:b/>
          <w:sz w:val="24"/>
          <w:szCs w:val="24"/>
          <w:lang w:val="tr-TR"/>
        </w:rPr>
        <w:t>Adalet Programı)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52"/>
        <w:gridCol w:w="5636"/>
      </w:tblGrid>
      <w:tr w:rsidR="00D73573" w:rsidRPr="000A2604" w14:paraId="42367435" w14:textId="77777777" w:rsidTr="000A2604">
        <w:trPr>
          <w:trHeight w:val="356"/>
        </w:trPr>
        <w:tc>
          <w:tcPr>
            <w:tcW w:w="1966" w:type="pct"/>
          </w:tcPr>
          <w:p w14:paraId="25B8DB56" w14:textId="77777777" w:rsidR="00D73573" w:rsidRPr="000A2604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Sorular</w:t>
            </w:r>
          </w:p>
        </w:tc>
        <w:tc>
          <w:tcPr>
            <w:tcW w:w="3034" w:type="pct"/>
          </w:tcPr>
          <w:p w14:paraId="3FC34B8F" w14:textId="77777777" w:rsidR="00D73573" w:rsidRPr="000A2604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Görüşler</w:t>
            </w:r>
          </w:p>
        </w:tc>
      </w:tr>
      <w:tr w:rsidR="00D73573" w:rsidRPr="000A2604" w14:paraId="6182FC19" w14:textId="77777777" w:rsidTr="000A2604">
        <w:tc>
          <w:tcPr>
            <w:tcW w:w="1966" w:type="pct"/>
          </w:tcPr>
          <w:p w14:paraId="3E14E521" w14:textId="47A44EEB" w:rsidR="00D73573" w:rsidRPr="000A2604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Adalet ön lisans programını okurken en çok memnun kaldığınız alanlar nelerdir?</w:t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191BFB43" w14:textId="2C6F5F35" w:rsidR="0098587E" w:rsidRPr="000A2604" w:rsidRDefault="008F4BF9" w:rsidP="008F4BF9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Ders içeriklerinin kapsamlı olması, derslerin çeşitliliği, öğretim elemanlarının bilgi birikimi ve aktarımı, derslerin başlama saati, kütüphane olanakları.</w:t>
            </w:r>
          </w:p>
        </w:tc>
      </w:tr>
      <w:tr w:rsidR="0098587E" w:rsidRPr="000A2604" w14:paraId="4C4E3B79" w14:textId="77777777" w:rsidTr="000A2604">
        <w:tc>
          <w:tcPr>
            <w:tcW w:w="1966" w:type="pct"/>
          </w:tcPr>
          <w:p w14:paraId="790E4536" w14:textId="18197D7D" w:rsidR="0098587E" w:rsidRPr="000A2604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Adalet ön lisans programını okurken en az memnun kaldığınız alanlar nelerdir?</w:t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3822BAB" w14:textId="77777777" w:rsidR="004135CC" w:rsidRPr="000A2604" w:rsidRDefault="002E6F5A" w:rsidP="004135CC">
            <w:pPr>
              <w:pStyle w:val="AralkYok"/>
              <w:rPr>
                <w:rFonts w:eastAsia="Times New Roman"/>
                <w:color w:val="000000"/>
                <w:sz w:val="20"/>
                <w:szCs w:val="20"/>
              </w:rPr>
            </w:pPr>
            <w:r w:rsidRPr="000A260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47EB707" w14:textId="3FA248F9" w:rsidR="002E6F5A" w:rsidRPr="000A2604" w:rsidRDefault="000D5B8F" w:rsidP="000D5B8F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Bazı derslerin online olması, etkinliklerin az olması, Klavye derslerinde kullanılan araç ve gereçlerin eksik olması,</w:t>
            </w:r>
          </w:p>
          <w:p w14:paraId="23D20D20" w14:textId="70A3EE99" w:rsidR="000D5B8F" w:rsidRPr="000A2604" w:rsidRDefault="000D5B8F" w:rsidP="004135CC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587E" w:rsidRPr="000A2604" w14:paraId="7960BD61" w14:textId="77777777" w:rsidTr="000A2604">
        <w:tc>
          <w:tcPr>
            <w:tcW w:w="1966" w:type="pct"/>
          </w:tcPr>
          <w:p w14:paraId="704C694B" w14:textId="1EDB3283" w:rsidR="0098587E" w:rsidRPr="000A2604" w:rsidRDefault="000D5B8F" w:rsidP="0054530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Tekrar başlayabilme şansınız olsaydı, yine bu bölümü okumak istermiydiniz?</w:t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E70685E" w14:textId="3A769355" w:rsidR="0098587E" w:rsidRPr="000A2604" w:rsidRDefault="00A47258" w:rsidP="004135CC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Evet  (</w:t>
            </w:r>
            <w:r w:rsidR="000D5B8F"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4135CC"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kişi </w:t>
            </w:r>
            <w:r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4135CC"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Hayır  (</w:t>
            </w:r>
            <w:r w:rsidR="000D5B8F"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135CC"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kişi</w:t>
            </w:r>
            <w:r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135CC" w:rsidRPr="000A2604" w14:paraId="33D1C9E2" w14:textId="77777777" w:rsidTr="000A2604">
        <w:tc>
          <w:tcPr>
            <w:tcW w:w="1966" w:type="pct"/>
          </w:tcPr>
          <w:p w14:paraId="0F4E2D46" w14:textId="2CA03373" w:rsidR="004135CC" w:rsidRPr="000A2604" w:rsidRDefault="000D5B8F" w:rsidP="004135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4.Adalet programına dair pandemi dönemine ilişkin görüşleriniz nelerdir?</w:t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74D5F04D" w14:textId="77777777" w:rsidR="004135CC" w:rsidRPr="000A2604" w:rsidRDefault="00FB42AE" w:rsidP="00EC6F18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Yaşanan bazı teknik aksaklıklar harici her şey güzeldi.</w:t>
            </w:r>
          </w:p>
          <w:p w14:paraId="729A8E37" w14:textId="77777777" w:rsidR="00FB42AE" w:rsidRPr="000A2604" w:rsidRDefault="00FB42AE" w:rsidP="00EC6F18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Online bir şekilde eğitim verimliliği biraz düşürdü.</w:t>
            </w:r>
          </w:p>
          <w:p w14:paraId="452B93CC" w14:textId="42050C15" w:rsidR="00FB42AE" w:rsidRPr="000A2604" w:rsidRDefault="00FB42AE" w:rsidP="00EC6F18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2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Etkinliklerin az yapılması ve verimliliğin az olması kötüydü.</w:t>
            </w:r>
          </w:p>
        </w:tc>
      </w:tr>
      <w:tr w:rsidR="0098587E" w:rsidRPr="000A2604" w14:paraId="794B49CF" w14:textId="77777777" w:rsidTr="000A2604">
        <w:trPr>
          <w:trHeight w:val="138"/>
        </w:trPr>
        <w:tc>
          <w:tcPr>
            <w:tcW w:w="1966" w:type="pct"/>
          </w:tcPr>
          <w:p w14:paraId="123AB59A" w14:textId="77777777" w:rsidR="0098587E" w:rsidRPr="000A2604" w:rsidRDefault="0098587E" w:rsidP="004753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Diğer görüşleri</w:t>
            </w:r>
          </w:p>
        </w:tc>
        <w:tc>
          <w:tcPr>
            <w:tcW w:w="3034" w:type="pct"/>
          </w:tcPr>
          <w:p w14:paraId="715587E5" w14:textId="0FBD66E3" w:rsidR="002E6F5A" w:rsidRPr="000A2604" w:rsidRDefault="00EC6F18" w:rsidP="00EC6F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42AE" w:rsidRPr="000A2604">
              <w:rPr>
                <w:rFonts w:ascii="Times New Roman" w:hAnsi="Times New Roman" w:cs="Times New Roman"/>
                <w:sz w:val="20"/>
                <w:szCs w:val="20"/>
              </w:rPr>
              <w:t>Staj zorunluluğunun olması konusunda görüşler olmakla beraber öğrenciler okuldan ve öğretim elemanlarından memnun olduklarını dile getirmişlerdir.</w:t>
            </w:r>
            <w:r w:rsidRPr="000A2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85B8083" w14:textId="77777777" w:rsidR="00D73573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95DF43C" w14:textId="77777777" w:rsidR="00D73573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46F890D" w14:textId="77777777" w:rsidR="003A270A" w:rsidRDefault="003A270A"/>
    <w:sectPr w:rsidR="003A2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7011">
    <w:abstractNumId w:val="5"/>
  </w:num>
  <w:num w:numId="2" w16cid:durableId="1064185065">
    <w:abstractNumId w:val="4"/>
  </w:num>
  <w:num w:numId="3" w16cid:durableId="1513689106">
    <w:abstractNumId w:val="1"/>
  </w:num>
  <w:num w:numId="4" w16cid:durableId="1740787019">
    <w:abstractNumId w:val="0"/>
  </w:num>
  <w:num w:numId="5" w16cid:durableId="197550643">
    <w:abstractNumId w:val="3"/>
  </w:num>
  <w:num w:numId="6" w16cid:durableId="208255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573"/>
    <w:rsid w:val="00037027"/>
    <w:rsid w:val="000561F9"/>
    <w:rsid w:val="000571CD"/>
    <w:rsid w:val="00073FAF"/>
    <w:rsid w:val="000A2604"/>
    <w:rsid w:val="000C48AD"/>
    <w:rsid w:val="000D5B8F"/>
    <w:rsid w:val="00107743"/>
    <w:rsid w:val="00194514"/>
    <w:rsid w:val="00195E1C"/>
    <w:rsid w:val="00246B7A"/>
    <w:rsid w:val="00286621"/>
    <w:rsid w:val="002D5795"/>
    <w:rsid w:val="002E6F5A"/>
    <w:rsid w:val="002F5AD5"/>
    <w:rsid w:val="002F7492"/>
    <w:rsid w:val="00314363"/>
    <w:rsid w:val="003565F2"/>
    <w:rsid w:val="00373622"/>
    <w:rsid w:val="003A270A"/>
    <w:rsid w:val="003E6379"/>
    <w:rsid w:val="004135CC"/>
    <w:rsid w:val="004678A9"/>
    <w:rsid w:val="00471490"/>
    <w:rsid w:val="00475393"/>
    <w:rsid w:val="00514043"/>
    <w:rsid w:val="0054677A"/>
    <w:rsid w:val="0054797A"/>
    <w:rsid w:val="00555F42"/>
    <w:rsid w:val="00602670"/>
    <w:rsid w:val="00654871"/>
    <w:rsid w:val="006A071B"/>
    <w:rsid w:val="006B3A1E"/>
    <w:rsid w:val="00700050"/>
    <w:rsid w:val="00722970"/>
    <w:rsid w:val="00735768"/>
    <w:rsid w:val="007A60C7"/>
    <w:rsid w:val="007C4040"/>
    <w:rsid w:val="008019BF"/>
    <w:rsid w:val="00814A2C"/>
    <w:rsid w:val="0082025B"/>
    <w:rsid w:val="00820736"/>
    <w:rsid w:val="008616E5"/>
    <w:rsid w:val="00871C17"/>
    <w:rsid w:val="008948BB"/>
    <w:rsid w:val="008E2D83"/>
    <w:rsid w:val="008F4BF9"/>
    <w:rsid w:val="00931D26"/>
    <w:rsid w:val="00944959"/>
    <w:rsid w:val="009528A9"/>
    <w:rsid w:val="0098587E"/>
    <w:rsid w:val="009B5585"/>
    <w:rsid w:val="009E0549"/>
    <w:rsid w:val="00A26472"/>
    <w:rsid w:val="00A42AB9"/>
    <w:rsid w:val="00A43C72"/>
    <w:rsid w:val="00A47258"/>
    <w:rsid w:val="00A47672"/>
    <w:rsid w:val="00A70FD5"/>
    <w:rsid w:val="00AA0D4B"/>
    <w:rsid w:val="00AB5CCA"/>
    <w:rsid w:val="00AB7336"/>
    <w:rsid w:val="00AC0773"/>
    <w:rsid w:val="00AC430E"/>
    <w:rsid w:val="00B45835"/>
    <w:rsid w:val="00B61606"/>
    <w:rsid w:val="00B6675F"/>
    <w:rsid w:val="00B847E1"/>
    <w:rsid w:val="00BD5680"/>
    <w:rsid w:val="00C4557C"/>
    <w:rsid w:val="00C74946"/>
    <w:rsid w:val="00CA0918"/>
    <w:rsid w:val="00CC496A"/>
    <w:rsid w:val="00D573D0"/>
    <w:rsid w:val="00D67CA5"/>
    <w:rsid w:val="00D73573"/>
    <w:rsid w:val="00DE178D"/>
    <w:rsid w:val="00E20D49"/>
    <w:rsid w:val="00E24EA7"/>
    <w:rsid w:val="00E6096A"/>
    <w:rsid w:val="00EC5F03"/>
    <w:rsid w:val="00EC6F18"/>
    <w:rsid w:val="00EF35EF"/>
    <w:rsid w:val="00F11BC9"/>
    <w:rsid w:val="00F47691"/>
    <w:rsid w:val="00F537CA"/>
    <w:rsid w:val="00F63C1F"/>
    <w:rsid w:val="00F672C9"/>
    <w:rsid w:val="00F67DFE"/>
    <w:rsid w:val="00F800F7"/>
    <w:rsid w:val="00FB42AE"/>
    <w:rsid w:val="00FC6387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0148"/>
  <w15:docId w15:val="{C0622B72-03FD-4144-84B3-5A50E9A3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175C-13B6-4B1D-AD0C-6257EBB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Oğuzhan</cp:lastModifiedBy>
  <cp:revision>17</cp:revision>
  <cp:lastPrinted>2019-06-12T10:50:00Z</cp:lastPrinted>
  <dcterms:created xsi:type="dcterms:W3CDTF">2023-06-13T18:11:00Z</dcterms:created>
  <dcterms:modified xsi:type="dcterms:W3CDTF">2023-06-15T11:50:00Z</dcterms:modified>
</cp:coreProperties>
</file>