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897F01" w:rsidP="00450653">
            <w:pPr>
              <w:jc w:val="center"/>
              <w:rPr>
                <w:rFonts w:asciiTheme="majorHAnsi" w:hAnsiTheme="majorHAnsi"/>
                <w:sz w:val="20"/>
              </w:rPr>
            </w:pPr>
            <w:r>
              <w:rPr>
                <w:rFonts w:asciiTheme="majorHAnsi" w:hAnsiTheme="majorHAnsi"/>
                <w:sz w:val="20"/>
              </w:rPr>
              <w:t>2</w:t>
            </w:r>
          </w:p>
        </w:tc>
        <w:tc>
          <w:tcPr>
            <w:tcW w:w="3512" w:type="dxa"/>
          </w:tcPr>
          <w:p w:rsidR="0062090D" w:rsidRPr="0062090D" w:rsidRDefault="006C009C" w:rsidP="008E4582">
            <w:pPr>
              <w:jc w:val="center"/>
              <w:rPr>
                <w:rFonts w:asciiTheme="majorHAnsi" w:hAnsiTheme="majorHAnsi"/>
                <w:sz w:val="20"/>
              </w:rPr>
            </w:pPr>
            <w:r>
              <w:rPr>
                <w:rFonts w:asciiTheme="majorHAnsi" w:hAnsiTheme="majorHAnsi"/>
                <w:sz w:val="20"/>
              </w:rPr>
              <w:t>19</w:t>
            </w:r>
            <w:r w:rsidR="008E4582">
              <w:rPr>
                <w:rFonts w:asciiTheme="majorHAnsi" w:hAnsiTheme="majorHAnsi"/>
                <w:sz w:val="20"/>
              </w:rPr>
              <w:t>.</w:t>
            </w:r>
            <w:r w:rsidR="00F429C4">
              <w:rPr>
                <w:rFonts w:asciiTheme="majorHAnsi" w:hAnsiTheme="majorHAnsi"/>
                <w:sz w:val="20"/>
              </w:rPr>
              <w:t>0</w:t>
            </w:r>
            <w:r>
              <w:rPr>
                <w:rFonts w:asciiTheme="majorHAnsi" w:hAnsiTheme="majorHAnsi"/>
                <w:sz w:val="20"/>
              </w:rPr>
              <w:t>3</w:t>
            </w:r>
            <w:r w:rsidR="008E4582">
              <w:rPr>
                <w:rFonts w:asciiTheme="majorHAnsi" w:hAnsiTheme="majorHAnsi"/>
                <w:sz w:val="20"/>
              </w:rPr>
              <w:t>.202</w:t>
            </w:r>
            <w:r>
              <w:rPr>
                <w:rFonts w:asciiTheme="majorHAnsi" w:hAnsiTheme="majorHAnsi"/>
                <w:sz w:val="20"/>
              </w:rPr>
              <w:t>6</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E8530C" w:rsidRPr="00E8530C" w:rsidRDefault="00E8530C" w:rsidP="00E8530C">
            <w:pPr>
              <w:pStyle w:val="NormalWeb"/>
              <w:spacing w:before="0" w:beforeAutospacing="0" w:after="0" w:afterAutospacing="0"/>
              <w:jc w:val="both"/>
              <w:rPr>
                <w:rFonts w:asciiTheme="majorHAnsi" w:hAnsiTheme="majorHAnsi"/>
                <w:color w:val="000000" w:themeColor="text1"/>
                <w:sz w:val="20"/>
                <w:szCs w:val="20"/>
              </w:rPr>
            </w:pPr>
            <w:r w:rsidRPr="00E8530C">
              <w:rPr>
                <w:rFonts w:asciiTheme="majorHAnsi" w:hAnsiTheme="majorHAnsi"/>
                <w:color w:val="000000" w:themeColor="text1"/>
                <w:sz w:val="20"/>
                <w:szCs w:val="20"/>
              </w:rPr>
              <w:t xml:space="preserve">A.4. Sosyal, kültürel ve ekonomik alanlarda toplumun çeşitli kurumlarıyla iş birliği içinde olarak üniversitenin topluma katkı sağlama amacıyla yürüttüğü bölgesel ve ulusal çalışmalarla toplumun ve kurumun bağlarını güçlendirmek. </w:t>
            </w:r>
          </w:p>
          <w:p w:rsidR="0062090D" w:rsidRPr="00CF3DC4" w:rsidRDefault="00695656" w:rsidP="00CF3DC4">
            <w:pPr>
              <w:pStyle w:val="NormalWeb"/>
              <w:spacing w:before="0" w:beforeAutospacing="0" w:after="0" w:afterAutospacing="0"/>
              <w:jc w:val="both"/>
              <w:rPr>
                <w:rFonts w:asciiTheme="majorHAnsi" w:hAnsiTheme="majorHAnsi"/>
                <w:color w:val="000000" w:themeColor="text1"/>
                <w:sz w:val="20"/>
                <w:szCs w:val="20"/>
              </w:rPr>
            </w:pPr>
            <w:r w:rsidRPr="00E8530C">
              <w:rPr>
                <w:rFonts w:asciiTheme="majorHAnsi" w:hAnsiTheme="majorHAnsi"/>
                <w:sz w:val="20"/>
                <w:szCs w:val="20"/>
              </w:rPr>
              <w:t xml:space="preserve">A.5. Yönetiştim süreçlerinin paydaş̧ katılımıyla birlikte geliştirilmesi ve yaygınlaştırılması ile kalite yönetim sistemlerinin tüm birimlerde uygulanmasını sağlamak. H.5.2. Üniversite içerisinde personel memnuniyetinin arttırılması. </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E8530C" w:rsidRPr="00F728AA" w:rsidRDefault="00E8530C" w:rsidP="00E8530C">
            <w:pPr>
              <w:pStyle w:val="NormalWeb"/>
              <w:shd w:val="clear" w:color="auto" w:fill="FFFFFF"/>
              <w:spacing w:after="0" w:afterAutospacing="0"/>
              <w:rPr>
                <w:rFonts w:ascii="Cambria" w:hAnsi="Cambria" w:cs="Calibri"/>
                <w:sz w:val="20"/>
                <w:szCs w:val="20"/>
              </w:rPr>
            </w:pPr>
            <w:r w:rsidRPr="00F728AA">
              <w:rPr>
                <w:rFonts w:ascii="Cambria" w:hAnsi="Cambria" w:cs="Calibri"/>
                <w:sz w:val="20"/>
                <w:szCs w:val="20"/>
              </w:rPr>
              <w:t>A.1. Liderlik ve Kalite</w:t>
            </w:r>
          </w:p>
          <w:p w:rsidR="00E8530C" w:rsidRPr="00F728AA" w:rsidRDefault="00E8530C" w:rsidP="00E8530C">
            <w:pPr>
              <w:pStyle w:val="NormalWeb"/>
              <w:shd w:val="clear" w:color="auto" w:fill="FFFFFF"/>
              <w:spacing w:before="0" w:beforeAutospacing="0" w:after="0" w:afterAutospacing="0"/>
              <w:rPr>
                <w:rFonts w:ascii="Cambria" w:hAnsi="Cambria" w:cs="Calibri"/>
                <w:sz w:val="20"/>
                <w:szCs w:val="20"/>
              </w:rPr>
            </w:pPr>
            <w:r w:rsidRPr="00F728AA">
              <w:rPr>
                <w:rFonts w:ascii="Cambria" w:hAnsi="Cambria" w:cs="Calibri"/>
                <w:sz w:val="20"/>
                <w:szCs w:val="20"/>
              </w:rPr>
              <w:t xml:space="preserve">A.1.3. Kurumsal dönüşüm kapasitesi </w:t>
            </w:r>
          </w:p>
          <w:p w:rsidR="00E8530C" w:rsidRPr="00E8530C" w:rsidRDefault="00E8530C" w:rsidP="00E8530C">
            <w:pPr>
              <w:pStyle w:val="NormalWeb"/>
              <w:shd w:val="clear" w:color="auto" w:fill="FFFFFF"/>
              <w:spacing w:before="0" w:beforeAutospacing="0" w:after="0" w:afterAutospacing="0"/>
              <w:rPr>
                <w:rFonts w:ascii="Cambria" w:hAnsi="Cambria" w:cs="Calibri"/>
                <w:sz w:val="20"/>
                <w:szCs w:val="20"/>
              </w:rPr>
            </w:pPr>
            <w:r w:rsidRPr="00F728AA">
              <w:rPr>
                <w:rFonts w:ascii="Cambria" w:hAnsi="Cambria" w:cs="Calibri"/>
                <w:sz w:val="20"/>
                <w:szCs w:val="20"/>
              </w:rPr>
              <w:t xml:space="preserve">A.1.4. </w:t>
            </w:r>
            <w:proofErr w:type="spellStart"/>
            <w:r w:rsidRPr="00F728AA">
              <w:rPr>
                <w:rFonts w:ascii="Cambria" w:hAnsi="Cambria" w:cs="Calibri"/>
                <w:sz w:val="20"/>
                <w:szCs w:val="20"/>
              </w:rPr>
              <w:t>İc</w:t>
            </w:r>
            <w:proofErr w:type="spellEnd"/>
            <w:r w:rsidRPr="00F728AA">
              <w:rPr>
                <w:rFonts w:ascii="Cambria" w:hAnsi="Cambria" w:cs="Calibri"/>
                <w:sz w:val="20"/>
                <w:szCs w:val="20"/>
              </w:rPr>
              <w:t xml:space="preserve">̧ kalite güvencesi mekanizmaları </w:t>
            </w:r>
          </w:p>
          <w:p w:rsidR="0062090D" w:rsidRDefault="00ED4B44">
            <w:pPr>
              <w:rPr>
                <w:rFonts w:asciiTheme="majorHAnsi" w:hAnsiTheme="majorHAnsi"/>
                <w:sz w:val="20"/>
              </w:rPr>
            </w:pPr>
            <w:r>
              <w:rPr>
                <w:rFonts w:asciiTheme="majorHAnsi" w:hAnsiTheme="majorHAnsi"/>
                <w:sz w:val="20"/>
              </w:rPr>
              <w:t>A.3. Yönetim Sistemleri</w:t>
            </w:r>
          </w:p>
          <w:p w:rsidR="00ED4B44" w:rsidRDefault="00ED4B44">
            <w:pPr>
              <w:rPr>
                <w:rFonts w:asciiTheme="majorHAnsi" w:hAnsiTheme="majorHAnsi"/>
                <w:sz w:val="20"/>
              </w:rPr>
            </w:pPr>
            <w:r>
              <w:rPr>
                <w:rFonts w:asciiTheme="majorHAnsi" w:hAnsiTheme="majorHAnsi"/>
                <w:sz w:val="20"/>
              </w:rPr>
              <w:t>A.3.2. İnsan Kaynakları Yönetimi</w:t>
            </w:r>
          </w:p>
          <w:p w:rsidR="00ED4B44" w:rsidRDefault="00ED4B44">
            <w:pPr>
              <w:rPr>
                <w:rFonts w:asciiTheme="majorHAnsi" w:hAnsiTheme="majorHAnsi"/>
                <w:sz w:val="20"/>
              </w:rPr>
            </w:pPr>
            <w:r>
              <w:rPr>
                <w:rFonts w:asciiTheme="majorHAnsi" w:hAnsiTheme="majorHAnsi"/>
                <w:sz w:val="20"/>
              </w:rPr>
              <w:t>A.4. Paydaş Katılımı</w:t>
            </w:r>
          </w:p>
          <w:p w:rsidR="00ED4B44" w:rsidRDefault="00ED4B44">
            <w:pPr>
              <w:rPr>
                <w:rFonts w:asciiTheme="majorHAnsi" w:hAnsiTheme="majorHAnsi"/>
                <w:sz w:val="20"/>
              </w:rPr>
            </w:pPr>
            <w:r>
              <w:rPr>
                <w:rFonts w:asciiTheme="majorHAnsi" w:hAnsiTheme="majorHAnsi"/>
                <w:sz w:val="20"/>
              </w:rPr>
              <w:t>A.4.2. Öğrenci Geri Bildirimleri</w:t>
            </w:r>
          </w:p>
          <w:p w:rsidR="006B35F2" w:rsidRDefault="006B35F2">
            <w:pPr>
              <w:rPr>
                <w:rFonts w:asciiTheme="majorHAnsi" w:hAnsiTheme="majorHAnsi"/>
                <w:sz w:val="20"/>
              </w:rPr>
            </w:pPr>
            <w:r>
              <w:rPr>
                <w:rFonts w:asciiTheme="majorHAnsi" w:hAnsiTheme="majorHAnsi"/>
                <w:sz w:val="20"/>
              </w:rPr>
              <w:t>B.2. Programın Yürütülmesi (Öğrenci Merkezli Öğrenme Öğretme ve Değerlendirme)</w:t>
            </w:r>
          </w:p>
          <w:p w:rsidR="006B35F2" w:rsidRPr="0062090D" w:rsidRDefault="006B35F2" w:rsidP="006B35F2">
            <w:pPr>
              <w:spacing w:after="240"/>
              <w:rPr>
                <w:rFonts w:asciiTheme="majorHAnsi" w:hAnsiTheme="majorHAnsi"/>
                <w:sz w:val="20"/>
              </w:rPr>
            </w:pPr>
            <w:r>
              <w:rPr>
                <w:rFonts w:asciiTheme="majorHAnsi" w:hAnsiTheme="majorHAnsi"/>
                <w:sz w:val="20"/>
              </w:rPr>
              <w:t>B.2.2. Ölçme ve Değerlendirme</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ED4B44" w:rsidRDefault="00ED4B44" w:rsidP="00ED4B44">
            <w:pPr>
              <w:rPr>
                <w:rStyle w:val="Gl"/>
                <w:rFonts w:asciiTheme="majorHAnsi" w:hAnsiTheme="majorHAnsi"/>
                <w:b w:val="0"/>
                <w:bCs w:val="0"/>
                <w:color w:val="000000" w:themeColor="text1"/>
                <w:sz w:val="20"/>
                <w:szCs w:val="20"/>
              </w:rPr>
            </w:pPr>
            <w:r w:rsidRPr="006B35F2">
              <w:rPr>
                <w:rStyle w:val="Gl"/>
                <w:rFonts w:asciiTheme="majorHAnsi" w:hAnsiTheme="majorHAnsi"/>
                <w:b w:val="0"/>
                <w:bCs w:val="0"/>
                <w:color w:val="000000" w:themeColor="text1"/>
                <w:sz w:val="20"/>
                <w:szCs w:val="20"/>
              </w:rPr>
              <w:t>SKA 4- Nitelikli Eğitim</w:t>
            </w:r>
          </w:p>
          <w:p w:rsidR="0062090D" w:rsidRPr="00672D89" w:rsidRDefault="00672D89" w:rsidP="00672D89">
            <w:pPr>
              <w:jc w:val="both"/>
              <w:rPr>
                <w:rFonts w:asciiTheme="majorHAnsi" w:hAnsiTheme="majorHAnsi" w:cs="Times New Roman"/>
                <w:sz w:val="20"/>
                <w:szCs w:val="20"/>
              </w:rPr>
            </w:pPr>
            <w:r w:rsidRPr="00D0565D">
              <w:rPr>
                <w:rFonts w:asciiTheme="majorHAnsi" w:hAnsiTheme="majorHAnsi" w:cs="Times New Roman"/>
                <w:sz w:val="20"/>
                <w:szCs w:val="20"/>
              </w:rPr>
              <w:t>SKA 16. Barış, Adalet ve Güçlü Kurumlar</w:t>
            </w:r>
          </w:p>
        </w:tc>
      </w:tr>
    </w:tbl>
    <w:p w:rsidR="0062090D" w:rsidRDefault="0062090D"/>
    <w:tbl>
      <w:tblPr>
        <w:tblStyle w:val="TabloKlavuzu"/>
        <w:tblW w:w="9927" w:type="dxa"/>
        <w:jc w:val="center"/>
        <w:tblLook w:val="04A0" w:firstRow="1" w:lastRow="0" w:firstColumn="1" w:lastColumn="0" w:noHBand="0" w:noVBand="1"/>
      </w:tblPr>
      <w:tblGrid>
        <w:gridCol w:w="2097"/>
        <w:gridCol w:w="7830"/>
      </w:tblGrid>
      <w:tr w:rsidR="007B2C4C" w:rsidRPr="001F5300" w:rsidTr="009F72DE">
        <w:trPr>
          <w:jc w:val="center"/>
        </w:trPr>
        <w:tc>
          <w:tcPr>
            <w:tcW w:w="9927"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9F72DE">
        <w:trPr>
          <w:jc w:val="center"/>
        </w:trPr>
        <w:tc>
          <w:tcPr>
            <w:tcW w:w="2097"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897F01" w:rsidRDefault="00897F01" w:rsidP="000A766B">
            <w:pPr>
              <w:pStyle w:val="AralkYok"/>
              <w:spacing w:line="276" w:lineRule="auto"/>
              <w:rPr>
                <w:rFonts w:asciiTheme="majorHAnsi" w:hAnsiTheme="majorHAnsi"/>
                <w:b/>
                <w:sz w:val="20"/>
                <w:szCs w:val="20"/>
              </w:rPr>
            </w:pPr>
            <w:r w:rsidRPr="00897F01">
              <w:rPr>
                <w:rFonts w:asciiTheme="majorHAnsi" w:hAnsiTheme="majorHAnsi"/>
                <w:color w:val="000000"/>
                <w:sz w:val="20"/>
                <w:szCs w:val="20"/>
              </w:rPr>
              <w:t>Kalite çalışmaları kapsamında sistem iyileştirmeleri ve Yönetimin Gözden Geçirme süreçlerinin değerlendirilmesi.</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261FF7">
              <w:rPr>
                <w:rFonts w:asciiTheme="majorHAnsi" w:hAnsiTheme="majorHAnsi"/>
                <w:sz w:val="20"/>
                <w:szCs w:val="20"/>
              </w:rPr>
              <w:t>3.3</w:t>
            </w:r>
            <w:r>
              <w:rPr>
                <w:rFonts w:asciiTheme="majorHAnsi" w:hAnsiTheme="majorHAnsi"/>
                <w:sz w:val="20"/>
                <w:szCs w:val="20"/>
              </w:rPr>
              <w:t>0</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6F4D01" w:rsidRDefault="007B2C4C" w:rsidP="006F4D01">
      <w:pPr>
        <w:jc w:val="both"/>
        <w:rPr>
          <w:rFonts w:asciiTheme="majorHAnsi" w:hAnsiTheme="majorHAnsi" w:cs="Times New Roman"/>
          <w:b/>
          <w:sz w:val="20"/>
          <w:szCs w:val="20"/>
          <w:u w:val="single"/>
        </w:rPr>
      </w:pPr>
      <w:r w:rsidRPr="009F72DE">
        <w:rPr>
          <w:rFonts w:asciiTheme="majorHAnsi" w:hAnsiTheme="majorHAnsi" w:cs="Times New Roman"/>
          <w:b/>
          <w:sz w:val="20"/>
          <w:szCs w:val="20"/>
          <w:u w:val="single"/>
        </w:rPr>
        <w:t>GÜNDEM:</w:t>
      </w:r>
    </w:p>
    <w:p w:rsidR="00897F01" w:rsidRPr="00897F01" w:rsidRDefault="00897F01" w:rsidP="00897F01">
      <w:pPr>
        <w:pStyle w:val="ListeParagraf"/>
        <w:widowControl/>
        <w:numPr>
          <w:ilvl w:val="0"/>
          <w:numId w:val="10"/>
        </w:numPr>
        <w:autoSpaceDE/>
        <w:autoSpaceDN/>
        <w:rPr>
          <w:rFonts w:asciiTheme="majorHAnsi" w:eastAsia="Times New Roman" w:hAnsiTheme="majorHAnsi" w:cs="Times New Roman"/>
          <w:sz w:val="20"/>
          <w:szCs w:val="20"/>
          <w:lang w:eastAsia="tr-TR"/>
        </w:rPr>
      </w:pPr>
      <w:r w:rsidRPr="00897F01">
        <w:rPr>
          <w:rFonts w:asciiTheme="majorHAnsi" w:eastAsia="Times New Roman" w:hAnsiTheme="majorHAnsi" w:cs="Times New Roman"/>
          <w:sz w:val="20"/>
          <w:szCs w:val="20"/>
          <w:lang w:eastAsia="tr-TR"/>
        </w:rPr>
        <w:t>Online İletişim Sisteminde yapılan düzenlemeler ve yeni başlıkların değerlendirilmesi.</w:t>
      </w:r>
    </w:p>
    <w:p w:rsidR="00D05424" w:rsidRPr="00897F01" w:rsidRDefault="00897F01" w:rsidP="00897F01">
      <w:pPr>
        <w:pStyle w:val="ListeParagraf"/>
        <w:numPr>
          <w:ilvl w:val="0"/>
          <w:numId w:val="10"/>
        </w:numPr>
        <w:rPr>
          <w:rFonts w:asciiTheme="majorHAnsi" w:hAnsiTheme="majorHAnsi" w:cs="Times New Roman"/>
          <w:b/>
          <w:sz w:val="20"/>
          <w:szCs w:val="20"/>
          <w:u w:val="single"/>
        </w:rPr>
      </w:pPr>
      <w:r w:rsidRPr="00897F01">
        <w:rPr>
          <w:rFonts w:asciiTheme="majorHAnsi" w:eastAsia="Times New Roman" w:hAnsiTheme="majorHAnsi" w:cs="Times New Roman"/>
          <w:sz w:val="20"/>
          <w:szCs w:val="20"/>
          <w:lang w:eastAsia="tr-TR"/>
        </w:rPr>
        <w:t>TS EN ISO 9001:2015 kapsamında Yönetim Gözden Geçirme (YGG) toplantı süreci ve iyileştirme faaliyetlerinin planlanması.</w:t>
      </w:r>
    </w:p>
    <w:p w:rsidR="00843230" w:rsidRDefault="00843230" w:rsidP="006F4D01">
      <w:pPr>
        <w:rPr>
          <w:rFonts w:asciiTheme="majorHAnsi" w:hAnsiTheme="majorHAnsi" w:cs="Times New Roman"/>
          <w:b/>
          <w:sz w:val="20"/>
          <w:szCs w:val="20"/>
          <w:u w:val="single"/>
        </w:rPr>
      </w:pPr>
    </w:p>
    <w:p w:rsidR="00851E54" w:rsidRPr="006F4D01" w:rsidRDefault="00851E54" w:rsidP="006F4D01">
      <w:pPr>
        <w:rPr>
          <w:rFonts w:asciiTheme="majorHAnsi" w:hAnsiTheme="majorHAnsi" w:cs="Times New Roman"/>
          <w:b/>
          <w:sz w:val="20"/>
          <w:szCs w:val="20"/>
          <w:u w:val="single"/>
        </w:rPr>
      </w:pPr>
      <w:r w:rsidRPr="006F4D01">
        <w:rPr>
          <w:rFonts w:asciiTheme="majorHAnsi" w:hAnsiTheme="majorHAnsi" w:cs="Times New Roman"/>
          <w:b/>
          <w:sz w:val="20"/>
          <w:szCs w:val="20"/>
          <w:u w:val="single"/>
        </w:rPr>
        <w:t>ALINAN KARARLAR:</w:t>
      </w:r>
    </w:p>
    <w:p w:rsidR="00E55820" w:rsidRPr="004445C2" w:rsidRDefault="007B2C4C" w:rsidP="00423524">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Karar</w:t>
      </w:r>
      <w:r w:rsidRPr="004445C2">
        <w:rPr>
          <w:rFonts w:asciiTheme="majorHAnsi" w:hAnsiTheme="majorHAnsi" w:cs="Times New Roman"/>
          <w:b/>
          <w:sz w:val="20"/>
          <w:szCs w:val="20"/>
        </w:rPr>
        <w:t xml:space="preserve"> No 1: </w:t>
      </w:r>
    </w:p>
    <w:p w:rsidR="00E21ECA" w:rsidRPr="004445C2" w:rsidRDefault="00E21ECA" w:rsidP="00E21ECA">
      <w:pPr>
        <w:pStyle w:val="NormalWeb"/>
        <w:ind w:left="720"/>
        <w:rPr>
          <w:rFonts w:asciiTheme="majorHAnsi" w:hAnsiTheme="majorHAnsi"/>
          <w:color w:val="000000"/>
          <w:sz w:val="20"/>
          <w:szCs w:val="20"/>
        </w:rPr>
      </w:pPr>
      <w:r w:rsidRPr="004445C2">
        <w:rPr>
          <w:rFonts w:asciiTheme="majorHAnsi" w:hAnsiTheme="majorHAnsi"/>
          <w:color w:val="000000"/>
          <w:sz w:val="20"/>
          <w:szCs w:val="20"/>
        </w:rPr>
        <w:br/>
        <w:t>Kalite çalışmaları kapsamında Online İletişim Sisteminde yeni düzenlemeler yapılmasına ve sisteme ek başlıkların entegre edilmesine karar verilmiştir.</w:t>
      </w:r>
    </w:p>
    <w:p w:rsidR="00E21ECA" w:rsidRPr="004445C2" w:rsidRDefault="00E21ECA" w:rsidP="00E21ECA">
      <w:pPr>
        <w:pStyle w:val="NormalWeb"/>
        <w:spacing w:before="240" w:beforeAutospacing="0" w:after="240" w:afterAutospacing="0"/>
        <w:rPr>
          <w:rStyle w:val="Gl"/>
          <w:rFonts w:asciiTheme="majorHAnsi" w:hAnsiTheme="majorHAnsi"/>
          <w:b w:val="0"/>
          <w:bCs w:val="0"/>
          <w:i/>
          <w:iCs/>
          <w:color w:val="000000"/>
          <w:sz w:val="20"/>
          <w:szCs w:val="20"/>
        </w:rPr>
      </w:pPr>
      <w:r w:rsidRPr="004445C2">
        <w:rPr>
          <w:rStyle w:val="Gl"/>
          <w:rFonts w:asciiTheme="majorHAnsi" w:hAnsiTheme="majorHAnsi"/>
          <w:b w:val="0"/>
          <w:bCs w:val="0"/>
          <w:i/>
          <w:iCs/>
          <w:color w:val="000000"/>
          <w:sz w:val="20"/>
          <w:szCs w:val="20"/>
        </w:rPr>
        <w:lastRenderedPageBreak/>
        <w:t>Kararın Gerekçesi:</w:t>
      </w:r>
    </w:p>
    <w:p w:rsidR="00E21ECA" w:rsidRPr="004445C2" w:rsidRDefault="00E21ECA" w:rsidP="00E21ECA">
      <w:pPr>
        <w:pStyle w:val="NormalWeb"/>
        <w:spacing w:before="240" w:beforeAutospacing="0" w:after="240" w:afterAutospacing="0"/>
        <w:rPr>
          <w:rFonts w:asciiTheme="majorHAnsi" w:hAnsiTheme="majorHAnsi"/>
          <w:color w:val="000000"/>
          <w:sz w:val="20"/>
          <w:szCs w:val="20"/>
        </w:rPr>
      </w:pPr>
      <w:r w:rsidRPr="004445C2">
        <w:rPr>
          <w:rFonts w:asciiTheme="majorHAnsi" w:hAnsiTheme="majorHAnsi"/>
          <w:color w:val="000000"/>
          <w:sz w:val="20"/>
          <w:szCs w:val="20"/>
        </w:rPr>
        <w:t>Paydaşlardan gelen talep, öneri ve bildirimlerin mevcut sistemde yeterince detaylı sınıflandırılamaması ve ilgili birimlere yönlendirilmesinde zaman kaybı yaşanması, süreçlerin etkinliğini olumsuz etkilemektedir. Kalite güvencesi anlayışı doğrultusunda, geri bildirimlerin daha sistematik değerlendirilmesi, hizmet süreçlerinin hızlandırılması ve iş sağlığı ve güvenliği kapsamında risklerin erken tespit edilmesi amacıyla sistemde iyileştirme yapılması gerekli görülmüştür.</w:t>
      </w:r>
    </w:p>
    <w:p w:rsidR="00E21ECA" w:rsidRPr="004445C2" w:rsidRDefault="00E21ECA" w:rsidP="00E21ECA">
      <w:pPr>
        <w:pStyle w:val="NormalWeb"/>
        <w:rPr>
          <w:rStyle w:val="Gl"/>
          <w:rFonts w:asciiTheme="majorHAnsi" w:hAnsiTheme="majorHAnsi"/>
          <w:b w:val="0"/>
          <w:bCs w:val="0"/>
          <w:i/>
          <w:iCs/>
          <w:color w:val="000000"/>
          <w:sz w:val="20"/>
          <w:szCs w:val="20"/>
        </w:rPr>
      </w:pPr>
      <w:r w:rsidRPr="004445C2">
        <w:rPr>
          <w:rStyle w:val="Gl"/>
          <w:rFonts w:asciiTheme="majorHAnsi" w:hAnsiTheme="majorHAnsi"/>
          <w:b w:val="0"/>
          <w:bCs w:val="0"/>
          <w:i/>
          <w:iCs/>
          <w:color w:val="000000"/>
          <w:sz w:val="20"/>
          <w:szCs w:val="20"/>
        </w:rPr>
        <w:t>Kararın İçeriği:</w:t>
      </w:r>
    </w:p>
    <w:p w:rsidR="00E21ECA" w:rsidRPr="004445C2" w:rsidRDefault="00E21ECA" w:rsidP="00E21ECA">
      <w:pPr>
        <w:pStyle w:val="NormalWeb"/>
        <w:jc w:val="both"/>
        <w:rPr>
          <w:rFonts w:asciiTheme="majorHAnsi" w:hAnsiTheme="majorHAnsi"/>
          <w:color w:val="000000"/>
          <w:sz w:val="20"/>
          <w:szCs w:val="20"/>
        </w:rPr>
      </w:pPr>
      <w:r w:rsidRPr="004445C2">
        <w:rPr>
          <w:rFonts w:asciiTheme="majorHAnsi" w:hAnsiTheme="majorHAnsi"/>
          <w:color w:val="000000"/>
          <w:sz w:val="20"/>
          <w:szCs w:val="20"/>
        </w:rPr>
        <w:t>Online İletişim Sistemine “Ulaştırma Hizmetleri”, “Kurumsal Arşiv Birimi” ve “Ramak Kala Bildirimi” başlıkları eklenmiştir. Bu düzenleme ile ulaşım hizmetlerine ilişkin taleplerin daha hızlı değerlendirilmesi, kurumsal arşiv süreçlerine yönelik başvuruların etkin şekilde yönetilmesi ve iş sağlığı ve güvenliği kapsamında olası risklerin erken aşamada bildirilerek önleyici tedbirlerin alınması sağlanacaktır. Ayrıca, paydaş geri bildirimlerinin daha sistematik sınıflandırılması ve ilgili birimlere hızlı yönlendirilmesi ile süreçlerin verimliliğinin artırılması hedeflenmektedir.</w:t>
      </w:r>
    </w:p>
    <w:p w:rsidR="00582A41" w:rsidRPr="00582A41" w:rsidRDefault="00582A41" w:rsidP="00582A41">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Karar No 2:</w:t>
      </w:r>
    </w:p>
    <w:p w:rsidR="00897F01" w:rsidRPr="00897F01" w:rsidRDefault="00897F01" w:rsidP="00897F01">
      <w:pPr>
        <w:pStyle w:val="NormalWeb"/>
        <w:ind w:left="720"/>
        <w:rPr>
          <w:rFonts w:asciiTheme="majorHAnsi" w:hAnsiTheme="majorHAnsi"/>
          <w:color w:val="000000"/>
          <w:sz w:val="20"/>
          <w:szCs w:val="20"/>
        </w:rPr>
      </w:pPr>
      <w:r w:rsidRPr="00897F01">
        <w:rPr>
          <w:rFonts w:asciiTheme="majorHAnsi" w:hAnsiTheme="majorHAnsi"/>
          <w:color w:val="000000"/>
          <w:sz w:val="20"/>
          <w:szCs w:val="20"/>
        </w:rPr>
        <w:t>TS EN ISO 9001:2015 Kalite Yönetim Sistemi kapsamında Yönetim Gözden Geçirme (YGG) toplantısının yapılmasına ve toplantı sonuçları doğrultusunda gerekli iyileştirme ve geliştirme faaliyetlerinin yürütülmesine karar verilmiştir.</w:t>
      </w:r>
    </w:p>
    <w:p w:rsidR="00582A41" w:rsidRPr="00897F01" w:rsidRDefault="00582A41" w:rsidP="00582A41">
      <w:pPr>
        <w:tabs>
          <w:tab w:val="left" w:pos="1418"/>
        </w:tabs>
        <w:spacing w:before="240"/>
        <w:jc w:val="both"/>
        <w:rPr>
          <w:rFonts w:asciiTheme="majorHAnsi" w:hAnsiTheme="majorHAnsi" w:cs="Times New Roman"/>
          <w:sz w:val="20"/>
          <w:szCs w:val="20"/>
        </w:rPr>
      </w:pPr>
      <w:r w:rsidRPr="00897F01">
        <w:rPr>
          <w:rFonts w:asciiTheme="majorHAnsi" w:hAnsiTheme="majorHAnsi" w:cs="Times New Roman"/>
          <w:sz w:val="20"/>
          <w:szCs w:val="20"/>
        </w:rPr>
        <w:t>Kararın Gerekçesi</w:t>
      </w:r>
      <w:r w:rsidR="00BE1932" w:rsidRPr="00897F01">
        <w:rPr>
          <w:rFonts w:asciiTheme="majorHAnsi" w:hAnsiTheme="majorHAnsi" w:cs="Times New Roman"/>
          <w:sz w:val="20"/>
          <w:szCs w:val="20"/>
        </w:rPr>
        <w:t>:</w:t>
      </w:r>
    </w:p>
    <w:p w:rsidR="00761553" w:rsidRPr="00897F01" w:rsidRDefault="00897F01" w:rsidP="00582A41">
      <w:pPr>
        <w:tabs>
          <w:tab w:val="left" w:pos="1418"/>
        </w:tabs>
        <w:spacing w:before="240"/>
        <w:jc w:val="both"/>
        <w:rPr>
          <w:rFonts w:asciiTheme="majorHAnsi" w:hAnsiTheme="majorHAnsi"/>
          <w:color w:val="000000"/>
          <w:sz w:val="20"/>
          <w:szCs w:val="20"/>
        </w:rPr>
      </w:pPr>
      <w:r w:rsidRPr="00897F01">
        <w:rPr>
          <w:rFonts w:asciiTheme="majorHAnsi" w:hAnsiTheme="majorHAnsi"/>
          <w:color w:val="000000"/>
          <w:sz w:val="20"/>
          <w:szCs w:val="20"/>
        </w:rPr>
        <w:t>Kalite yönetim sisteminin etkinliğinin değerlendirilmesi, iç tetkik sonuçlarının analiz edilmesi, performans göstergelerinin izlenmesi ve paydaş geri bildirimlerinin sistematik olarak ele alınması gerekliliği doğrultusunda Yönetim Gözden Geçirme toplantısının yapılması gerekli görülmüştür. Ayrıca, kurumsal süreçlerdeki risk ve fırsatların belirlenmesi, stratejik hedeflerin gözden geçirilmesi ve sürekli iyileştirme yaklaşımının güçlendirilmesi amacıyla üst yönetim düzeyinde değerlendirme yapılması ihtiyaç arz etmektedir.</w:t>
      </w:r>
    </w:p>
    <w:p w:rsidR="00582A41" w:rsidRPr="00897F01" w:rsidRDefault="00582A41" w:rsidP="00582A41">
      <w:pPr>
        <w:tabs>
          <w:tab w:val="left" w:pos="1418"/>
        </w:tabs>
        <w:spacing w:before="240"/>
        <w:jc w:val="both"/>
        <w:rPr>
          <w:rFonts w:asciiTheme="majorHAnsi" w:hAnsiTheme="majorHAnsi" w:cs="Times New Roman"/>
          <w:sz w:val="20"/>
          <w:szCs w:val="20"/>
        </w:rPr>
      </w:pPr>
      <w:r w:rsidRPr="00897F01">
        <w:rPr>
          <w:rFonts w:asciiTheme="majorHAnsi" w:hAnsiTheme="majorHAnsi" w:cs="Times New Roman"/>
          <w:sz w:val="20"/>
          <w:szCs w:val="20"/>
        </w:rPr>
        <w:t>Kararın İçeriği</w:t>
      </w:r>
      <w:r w:rsidR="00BE1932" w:rsidRPr="00897F01">
        <w:rPr>
          <w:rFonts w:asciiTheme="majorHAnsi" w:hAnsiTheme="majorHAnsi" w:cs="Times New Roman"/>
          <w:sz w:val="20"/>
          <w:szCs w:val="20"/>
        </w:rPr>
        <w:t>:</w:t>
      </w:r>
    </w:p>
    <w:p w:rsidR="00DF5B82" w:rsidRPr="00897F01" w:rsidRDefault="00897F01" w:rsidP="00BE3A16">
      <w:pPr>
        <w:tabs>
          <w:tab w:val="left" w:pos="1418"/>
        </w:tabs>
        <w:spacing w:before="240" w:after="240"/>
        <w:jc w:val="both"/>
        <w:rPr>
          <w:rFonts w:asciiTheme="majorHAnsi" w:hAnsiTheme="majorHAnsi" w:cs="Times New Roman"/>
          <w:b/>
          <w:bCs/>
          <w:sz w:val="20"/>
          <w:szCs w:val="20"/>
        </w:rPr>
      </w:pPr>
      <w:r w:rsidRPr="00897F01">
        <w:rPr>
          <w:rFonts w:asciiTheme="majorHAnsi" w:hAnsiTheme="majorHAnsi"/>
          <w:color w:val="000000"/>
          <w:sz w:val="20"/>
          <w:szCs w:val="20"/>
        </w:rPr>
        <w:t>Yönetim Gözden Geçirme toplantısında; kalite yönetim sisteminin genel performansının değerlendirilmesi, iç tetkik bulgularının incelenmesi, performans göstergelerinin analiz edilmesi, paydaş geri bildirimlerinin ele alınması ve yürütülen iyileştirme faaliyetlerinin gözden geçirilmesi sağlanacaktır. Toplantı kapsamında risk ve fırsatlar analiz edilerek kurumsal performansın artırılmasına yönelik stratejik kararlar alınacak, ilgili birimlere gerekli aksiyonların planlanması ve uygulanmasına yönelik sorumluluklar verilecektir. Bu doğrultuda kalite güvencesi süreçlerinin sürdürülebilirliği sağlanarak sürekli iyileştirme faaliyetlerinin etkin şekilde yürütülmesi hedeflenmektedir.</w:t>
      </w:r>
    </w:p>
    <w:p w:rsidR="00577DA6" w:rsidRDefault="00577DA6" w:rsidP="00B77F7C">
      <w:pPr>
        <w:tabs>
          <w:tab w:val="left" w:pos="1418"/>
        </w:tabs>
        <w:spacing w:before="240"/>
        <w:jc w:val="both"/>
        <w:rPr>
          <w:rFonts w:ascii="Cambria" w:hAnsi="Cambria" w:cs="Times New Roman"/>
          <w:sz w:val="20"/>
          <w:szCs w:val="20"/>
        </w:rPr>
      </w:pPr>
    </w:p>
    <w:p w:rsidR="00897F01" w:rsidRDefault="00897F01" w:rsidP="00B77F7C">
      <w:pPr>
        <w:tabs>
          <w:tab w:val="left" w:pos="1418"/>
        </w:tabs>
        <w:spacing w:before="240"/>
        <w:jc w:val="both"/>
        <w:rPr>
          <w:rFonts w:ascii="Cambria" w:hAnsi="Cambria" w:cs="Times New Roman"/>
          <w:sz w:val="20"/>
          <w:szCs w:val="20"/>
        </w:rPr>
      </w:pPr>
    </w:p>
    <w:p w:rsidR="003F74CD" w:rsidRDefault="003F74CD" w:rsidP="00B77F7C">
      <w:pPr>
        <w:tabs>
          <w:tab w:val="left" w:pos="1418"/>
        </w:tabs>
        <w:spacing w:before="240"/>
        <w:jc w:val="both"/>
        <w:rPr>
          <w:rFonts w:ascii="Cambria" w:hAnsi="Cambria" w:cs="Times New Roman"/>
          <w:sz w:val="20"/>
          <w:szCs w:val="20"/>
        </w:rPr>
      </w:pPr>
    </w:p>
    <w:p w:rsidR="003F74CD" w:rsidRPr="00577DA6" w:rsidRDefault="003F74CD" w:rsidP="00B77F7C">
      <w:pPr>
        <w:tabs>
          <w:tab w:val="left" w:pos="1418"/>
        </w:tabs>
        <w:spacing w:before="240"/>
        <w:jc w:val="both"/>
        <w:rPr>
          <w:rFonts w:ascii="Cambria" w:hAnsi="Cambria" w:cs="Times New Roman"/>
          <w:sz w:val="20"/>
          <w:szCs w:val="20"/>
        </w:rPr>
      </w:pPr>
    </w:p>
    <w:p w:rsidR="00302066" w:rsidRPr="00B77F7C" w:rsidRDefault="00302066" w:rsidP="00B77F7C">
      <w:pPr>
        <w:tabs>
          <w:tab w:val="left" w:pos="1418"/>
        </w:tabs>
        <w:spacing w:before="240"/>
        <w:jc w:val="both"/>
        <w:rPr>
          <w:rFonts w:ascii="Cambria" w:hAnsi="Cambria" w:cs="Times New Roman"/>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lastRenderedPageBreak/>
        <w:t>Toplantıya Katılanlar:</w:t>
      </w:r>
    </w:p>
    <w:p w:rsidR="007D3C81" w:rsidRDefault="007D3C81" w:rsidP="007B2C4C">
      <w:pPr>
        <w:jc w:val="both"/>
        <w:rPr>
          <w:rFonts w:asciiTheme="majorHAnsi" w:hAnsiTheme="majorHAnsi" w:cs="Times New Roman"/>
          <w:b/>
          <w:sz w:val="20"/>
          <w:szCs w:val="20"/>
        </w:rPr>
      </w:pPr>
    </w:p>
    <w:tbl>
      <w:tblPr>
        <w:tblStyle w:val="TabloKlavuzu"/>
        <w:tblW w:w="9952" w:type="dxa"/>
        <w:jc w:val="center"/>
        <w:tblLook w:val="04A0" w:firstRow="1" w:lastRow="0" w:firstColumn="1" w:lastColumn="0" w:noHBand="0" w:noVBand="1"/>
      </w:tblPr>
      <w:tblGrid>
        <w:gridCol w:w="2571"/>
        <w:gridCol w:w="968"/>
        <w:gridCol w:w="1559"/>
        <w:gridCol w:w="2013"/>
        <w:gridCol w:w="1361"/>
        <w:gridCol w:w="1480"/>
      </w:tblGrid>
      <w:tr w:rsidR="00D37819" w:rsidRPr="001F5300" w:rsidTr="009A3120">
        <w:trPr>
          <w:jc w:val="center"/>
        </w:trPr>
        <w:tc>
          <w:tcPr>
            <w:tcW w:w="2571" w:type="dxa"/>
            <w:vAlign w:val="center"/>
          </w:tcPr>
          <w:p w:rsidR="00D37819" w:rsidRPr="001F5300" w:rsidRDefault="00D37819" w:rsidP="009A3120">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968" w:type="dxa"/>
            <w:vAlign w:val="center"/>
          </w:tcPr>
          <w:p w:rsidR="00D37819" w:rsidRPr="001F5300" w:rsidRDefault="00D37819" w:rsidP="009A3120">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59" w:type="dxa"/>
            <w:vAlign w:val="center"/>
          </w:tcPr>
          <w:p w:rsidR="00D37819" w:rsidRPr="001F5300" w:rsidRDefault="00D37819"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2013" w:type="dxa"/>
            <w:vAlign w:val="center"/>
          </w:tcPr>
          <w:p w:rsidR="00D37819" w:rsidRPr="001F5300" w:rsidRDefault="00D37819"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61" w:type="dxa"/>
            <w:vAlign w:val="center"/>
          </w:tcPr>
          <w:p w:rsidR="00D37819" w:rsidRPr="001F5300" w:rsidRDefault="00D37819" w:rsidP="009A3120">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480" w:type="dxa"/>
            <w:vAlign w:val="center"/>
          </w:tcPr>
          <w:p w:rsidR="00D37819" w:rsidRPr="001F5300" w:rsidRDefault="00D37819"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D37819" w:rsidRPr="001F5300" w:rsidTr="009A3120">
        <w:trPr>
          <w:trHeight w:val="878"/>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1.H. Mahir FİSUNOĞLU</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9. Süreyya YILMAZ ÖZEKENCİ</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930"/>
          <w:jc w:val="center"/>
        </w:trPr>
        <w:tc>
          <w:tcPr>
            <w:tcW w:w="2571" w:type="dxa"/>
            <w:vAlign w:val="center"/>
          </w:tcPr>
          <w:p w:rsidR="00D37819" w:rsidRPr="00F37C3E" w:rsidRDefault="00D37819" w:rsidP="009A3120">
            <w:pPr>
              <w:pStyle w:val="AralkYok"/>
              <w:spacing w:line="276" w:lineRule="auto"/>
              <w:rPr>
                <w:rFonts w:asciiTheme="majorHAnsi" w:hAnsiTheme="majorHAnsi"/>
                <w:sz w:val="20"/>
                <w:szCs w:val="20"/>
              </w:rPr>
            </w:pPr>
            <w:r>
              <w:rPr>
                <w:rFonts w:asciiTheme="majorHAnsi" w:hAnsiTheme="majorHAnsi"/>
                <w:sz w:val="20"/>
                <w:szCs w:val="20"/>
              </w:rPr>
              <w:t>2.Şenol KANDEMİR</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675"/>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3.Gürcan DEMİROGLARI</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11. Oğuzhan ÇAVUŞOĞLU</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697"/>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4.Y. Anıl AY</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12. Tuğçe KANDİLCİ</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705"/>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5.Yonca BİR</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Default="00D37819" w:rsidP="009A3120">
            <w:pPr>
              <w:pStyle w:val="AralkYok"/>
              <w:spacing w:line="276" w:lineRule="auto"/>
              <w:rPr>
                <w:rFonts w:asciiTheme="majorHAnsi" w:hAnsiTheme="majorHAnsi"/>
                <w:sz w:val="20"/>
                <w:szCs w:val="20"/>
              </w:rPr>
            </w:pPr>
            <w:r>
              <w:rPr>
                <w:rFonts w:asciiTheme="majorHAnsi" w:hAnsiTheme="majorHAnsi"/>
                <w:sz w:val="20"/>
                <w:szCs w:val="20"/>
              </w:rPr>
              <w:t>13. Dr. Burcu DEMİROGLARI</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727"/>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6.Duygu GÜR</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688"/>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7. Alper YILDIZ</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Default="00D37819" w:rsidP="009A3120">
            <w:pPr>
              <w:pStyle w:val="AralkYok"/>
              <w:spacing w:line="276" w:lineRule="auto"/>
              <w:rPr>
                <w:rFonts w:asciiTheme="majorHAnsi" w:hAnsiTheme="majorHAnsi"/>
                <w:sz w:val="20"/>
                <w:szCs w:val="20"/>
              </w:rPr>
            </w:pP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688"/>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Default="00D37819" w:rsidP="009A3120">
            <w:pPr>
              <w:pStyle w:val="AralkYok"/>
              <w:spacing w:line="276" w:lineRule="auto"/>
              <w:rPr>
                <w:rFonts w:asciiTheme="majorHAnsi" w:hAnsiTheme="majorHAnsi"/>
                <w:sz w:val="20"/>
                <w:szCs w:val="20"/>
              </w:rPr>
            </w:pP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bl>
    <w:p w:rsidR="00A702C1" w:rsidRDefault="00A702C1" w:rsidP="001B318F">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F429C4" w:rsidRDefault="001B318F" w:rsidP="00F429C4">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sectPr w:rsidR="001B318F" w:rsidRPr="00F429C4"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01E9" w:rsidRDefault="004101E9">
      <w:r>
        <w:separator/>
      </w:r>
    </w:p>
  </w:endnote>
  <w:endnote w:type="continuationSeparator" w:id="0">
    <w:p w:rsidR="004101E9" w:rsidRDefault="0041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01E9" w:rsidRDefault="004101E9">
      <w:r>
        <w:separator/>
      </w:r>
    </w:p>
  </w:footnote>
  <w:footnote w:type="continuationSeparator" w:id="0">
    <w:p w:rsidR="004101E9" w:rsidRDefault="0041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332125"/>
    <w:multiLevelType w:val="hybridMultilevel"/>
    <w:tmpl w:val="918AD6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6AD6801"/>
    <w:multiLevelType w:val="hybridMultilevel"/>
    <w:tmpl w:val="00FAADE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8"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9"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D372B"/>
    <w:multiLevelType w:val="hybridMultilevel"/>
    <w:tmpl w:val="5FE8B4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7692842">
    <w:abstractNumId w:val="6"/>
  </w:num>
  <w:num w:numId="2" w16cid:durableId="1940676043">
    <w:abstractNumId w:val="8"/>
  </w:num>
  <w:num w:numId="3" w16cid:durableId="1686318854">
    <w:abstractNumId w:val="2"/>
  </w:num>
  <w:num w:numId="4" w16cid:durableId="1049187570">
    <w:abstractNumId w:val="7"/>
  </w:num>
  <w:num w:numId="5" w16cid:durableId="981234561">
    <w:abstractNumId w:val="4"/>
  </w:num>
  <w:num w:numId="6" w16cid:durableId="230579051">
    <w:abstractNumId w:val="5"/>
  </w:num>
  <w:num w:numId="7" w16cid:durableId="131212080">
    <w:abstractNumId w:val="9"/>
  </w:num>
  <w:num w:numId="8" w16cid:durableId="226458796">
    <w:abstractNumId w:val="0"/>
  </w:num>
  <w:num w:numId="9" w16cid:durableId="582177514">
    <w:abstractNumId w:val="10"/>
  </w:num>
  <w:num w:numId="10" w16cid:durableId="1413159941">
    <w:abstractNumId w:val="1"/>
  </w:num>
  <w:num w:numId="11" w16cid:durableId="81688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91E68"/>
    <w:rsid w:val="00092724"/>
    <w:rsid w:val="000A3AA0"/>
    <w:rsid w:val="000A6771"/>
    <w:rsid w:val="000A766B"/>
    <w:rsid w:val="00126EDA"/>
    <w:rsid w:val="00177B31"/>
    <w:rsid w:val="001B318F"/>
    <w:rsid w:val="001C2F78"/>
    <w:rsid w:val="001E4861"/>
    <w:rsid w:val="001F041B"/>
    <w:rsid w:val="001F5300"/>
    <w:rsid w:val="002053FA"/>
    <w:rsid w:val="00250AEA"/>
    <w:rsid w:val="00261FF7"/>
    <w:rsid w:val="00275474"/>
    <w:rsid w:val="002A518F"/>
    <w:rsid w:val="002C7B4A"/>
    <w:rsid w:val="002C7DC2"/>
    <w:rsid w:val="00302066"/>
    <w:rsid w:val="00345C8A"/>
    <w:rsid w:val="003A17B9"/>
    <w:rsid w:val="003B5374"/>
    <w:rsid w:val="003D038B"/>
    <w:rsid w:val="003F1F4D"/>
    <w:rsid w:val="003F74CD"/>
    <w:rsid w:val="004101E9"/>
    <w:rsid w:val="00415F48"/>
    <w:rsid w:val="00423524"/>
    <w:rsid w:val="00423C03"/>
    <w:rsid w:val="00436C99"/>
    <w:rsid w:val="004445C2"/>
    <w:rsid w:val="00450653"/>
    <w:rsid w:val="0045216D"/>
    <w:rsid w:val="00462B6E"/>
    <w:rsid w:val="00466713"/>
    <w:rsid w:val="004D2C91"/>
    <w:rsid w:val="004E256D"/>
    <w:rsid w:val="00504469"/>
    <w:rsid w:val="00540011"/>
    <w:rsid w:val="00577DA6"/>
    <w:rsid w:val="00582A41"/>
    <w:rsid w:val="005867A9"/>
    <w:rsid w:val="00591BA9"/>
    <w:rsid w:val="005A0610"/>
    <w:rsid w:val="0060546C"/>
    <w:rsid w:val="0062090D"/>
    <w:rsid w:val="00624C8B"/>
    <w:rsid w:val="0064649F"/>
    <w:rsid w:val="00652590"/>
    <w:rsid w:val="00672D89"/>
    <w:rsid w:val="00695656"/>
    <w:rsid w:val="006B35F2"/>
    <w:rsid w:val="006B70B0"/>
    <w:rsid w:val="006C009C"/>
    <w:rsid w:val="006C3210"/>
    <w:rsid w:val="006F4D01"/>
    <w:rsid w:val="00741429"/>
    <w:rsid w:val="00761553"/>
    <w:rsid w:val="00774ED1"/>
    <w:rsid w:val="00784D89"/>
    <w:rsid w:val="007A33E7"/>
    <w:rsid w:val="007B2C4C"/>
    <w:rsid w:val="007D3C81"/>
    <w:rsid w:val="00843230"/>
    <w:rsid w:val="00845169"/>
    <w:rsid w:val="00851E54"/>
    <w:rsid w:val="008631BB"/>
    <w:rsid w:val="00897F01"/>
    <w:rsid w:val="008A7959"/>
    <w:rsid w:val="008B4B22"/>
    <w:rsid w:val="008B7868"/>
    <w:rsid w:val="008E4582"/>
    <w:rsid w:val="009255C5"/>
    <w:rsid w:val="009305F8"/>
    <w:rsid w:val="00954B5E"/>
    <w:rsid w:val="009B1F7F"/>
    <w:rsid w:val="009E4FF3"/>
    <w:rsid w:val="009F72DE"/>
    <w:rsid w:val="00A07500"/>
    <w:rsid w:val="00A24729"/>
    <w:rsid w:val="00A43676"/>
    <w:rsid w:val="00A526DA"/>
    <w:rsid w:val="00A702C1"/>
    <w:rsid w:val="00A74D8A"/>
    <w:rsid w:val="00A812D9"/>
    <w:rsid w:val="00AD1DD7"/>
    <w:rsid w:val="00B03151"/>
    <w:rsid w:val="00B742C8"/>
    <w:rsid w:val="00B77F7C"/>
    <w:rsid w:val="00BC7EE1"/>
    <w:rsid w:val="00BE1932"/>
    <w:rsid w:val="00BE3A16"/>
    <w:rsid w:val="00C00FE5"/>
    <w:rsid w:val="00C363DB"/>
    <w:rsid w:val="00C70E37"/>
    <w:rsid w:val="00CF3DC4"/>
    <w:rsid w:val="00D05424"/>
    <w:rsid w:val="00D32A35"/>
    <w:rsid w:val="00D37819"/>
    <w:rsid w:val="00D3794B"/>
    <w:rsid w:val="00D50DA4"/>
    <w:rsid w:val="00DF5B82"/>
    <w:rsid w:val="00E05D2C"/>
    <w:rsid w:val="00E21ECA"/>
    <w:rsid w:val="00E52883"/>
    <w:rsid w:val="00E55820"/>
    <w:rsid w:val="00E70FBC"/>
    <w:rsid w:val="00E76D93"/>
    <w:rsid w:val="00E8530C"/>
    <w:rsid w:val="00EC2556"/>
    <w:rsid w:val="00ED4B44"/>
    <w:rsid w:val="00ED788B"/>
    <w:rsid w:val="00EF461C"/>
    <w:rsid w:val="00F0571B"/>
    <w:rsid w:val="00F429C4"/>
    <w:rsid w:val="00F505AE"/>
    <w:rsid w:val="00F840E0"/>
    <w:rsid w:val="00F84B65"/>
    <w:rsid w:val="00F963B7"/>
    <w:rsid w:val="00FB5265"/>
    <w:rsid w:val="00FC3D87"/>
    <w:rsid w:val="00FE63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5A63C"/>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7425">
      <w:bodyDiv w:val="1"/>
      <w:marLeft w:val="0"/>
      <w:marRight w:val="0"/>
      <w:marTop w:val="0"/>
      <w:marBottom w:val="0"/>
      <w:divBdr>
        <w:top w:val="none" w:sz="0" w:space="0" w:color="auto"/>
        <w:left w:val="none" w:sz="0" w:space="0" w:color="auto"/>
        <w:bottom w:val="none" w:sz="0" w:space="0" w:color="auto"/>
        <w:right w:val="none" w:sz="0" w:space="0" w:color="auto"/>
      </w:divBdr>
    </w:div>
    <w:div w:id="197159618">
      <w:bodyDiv w:val="1"/>
      <w:marLeft w:val="0"/>
      <w:marRight w:val="0"/>
      <w:marTop w:val="0"/>
      <w:marBottom w:val="0"/>
      <w:divBdr>
        <w:top w:val="none" w:sz="0" w:space="0" w:color="auto"/>
        <w:left w:val="none" w:sz="0" w:space="0" w:color="auto"/>
        <w:bottom w:val="none" w:sz="0" w:space="0" w:color="auto"/>
        <w:right w:val="none" w:sz="0" w:space="0" w:color="auto"/>
      </w:divBdr>
    </w:div>
    <w:div w:id="863205502">
      <w:bodyDiv w:val="1"/>
      <w:marLeft w:val="0"/>
      <w:marRight w:val="0"/>
      <w:marTop w:val="0"/>
      <w:marBottom w:val="0"/>
      <w:divBdr>
        <w:top w:val="none" w:sz="0" w:space="0" w:color="auto"/>
        <w:left w:val="none" w:sz="0" w:space="0" w:color="auto"/>
        <w:bottom w:val="none" w:sz="0" w:space="0" w:color="auto"/>
        <w:right w:val="none" w:sz="0" w:space="0" w:color="auto"/>
      </w:divBdr>
    </w:div>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494251065">
      <w:bodyDiv w:val="1"/>
      <w:marLeft w:val="0"/>
      <w:marRight w:val="0"/>
      <w:marTop w:val="0"/>
      <w:marBottom w:val="0"/>
      <w:divBdr>
        <w:top w:val="none" w:sz="0" w:space="0" w:color="auto"/>
        <w:left w:val="none" w:sz="0" w:space="0" w:color="auto"/>
        <w:bottom w:val="none" w:sz="0" w:space="0" w:color="auto"/>
        <w:right w:val="none" w:sz="0" w:space="0" w:color="auto"/>
      </w:divBdr>
    </w:div>
    <w:div w:id="1718511728">
      <w:bodyDiv w:val="1"/>
      <w:marLeft w:val="0"/>
      <w:marRight w:val="0"/>
      <w:marTop w:val="0"/>
      <w:marBottom w:val="0"/>
      <w:divBdr>
        <w:top w:val="none" w:sz="0" w:space="0" w:color="auto"/>
        <w:left w:val="none" w:sz="0" w:space="0" w:color="auto"/>
        <w:bottom w:val="none" w:sz="0" w:space="0" w:color="auto"/>
        <w:right w:val="none" w:sz="0" w:space="0" w:color="auto"/>
      </w:divBdr>
    </w:div>
    <w:div w:id="202494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730</Words>
  <Characters>4163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15</cp:revision>
  <cp:lastPrinted>2024-03-07T10:38:00Z</cp:lastPrinted>
  <dcterms:created xsi:type="dcterms:W3CDTF">2026-04-09T11:38:00Z</dcterms:created>
  <dcterms:modified xsi:type="dcterms:W3CDTF">2026-04-10T12:10:00Z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