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A4409C" w:rsidP="00600014">
            <w:pPr>
              <w:jc w:val="center"/>
              <w:rPr>
                <w:rFonts w:asciiTheme="majorHAnsi" w:hAnsiTheme="majorHAnsi"/>
                <w:sz w:val="20"/>
              </w:rPr>
            </w:pPr>
            <w:r>
              <w:rPr>
                <w:rFonts w:asciiTheme="majorHAnsi" w:hAnsiTheme="majorHAnsi"/>
                <w:sz w:val="20"/>
              </w:rPr>
              <w:t>5</w:t>
            </w:r>
          </w:p>
        </w:tc>
        <w:tc>
          <w:tcPr>
            <w:tcW w:w="3512" w:type="dxa"/>
          </w:tcPr>
          <w:p w:rsidR="0062090D" w:rsidRPr="0062090D" w:rsidRDefault="002F5A6F" w:rsidP="002F5A6F">
            <w:pPr>
              <w:jc w:val="center"/>
              <w:rPr>
                <w:rFonts w:asciiTheme="majorHAnsi" w:hAnsiTheme="majorHAnsi"/>
                <w:sz w:val="20"/>
              </w:rPr>
            </w:pPr>
            <w:r>
              <w:rPr>
                <w:rFonts w:asciiTheme="majorHAnsi" w:hAnsiTheme="majorHAnsi"/>
                <w:sz w:val="20"/>
              </w:rPr>
              <w:t>1</w:t>
            </w:r>
            <w:r w:rsidR="002D4439">
              <w:rPr>
                <w:rFonts w:asciiTheme="majorHAnsi" w:hAnsiTheme="majorHAnsi"/>
                <w:sz w:val="20"/>
              </w:rPr>
              <w:t>9</w:t>
            </w:r>
            <w:r>
              <w:rPr>
                <w:rFonts w:asciiTheme="majorHAnsi" w:hAnsiTheme="majorHAnsi"/>
                <w:sz w:val="20"/>
              </w:rPr>
              <w:t>.02.2026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2F5A6F" w:rsidRPr="00365D86" w:rsidRDefault="002F5A6F" w:rsidP="002F5A6F">
            <w:pPr>
              <w:pStyle w:val="NormalWeb"/>
              <w:spacing w:after="0" w:afterAutospacing="0"/>
              <w:rPr>
                <w:rFonts w:asciiTheme="majorHAnsi" w:hAnsiTheme="majorHAnsi"/>
                <w:sz w:val="20"/>
                <w:szCs w:val="20"/>
              </w:rPr>
            </w:pPr>
            <w:r w:rsidRPr="00365D86">
              <w:rPr>
                <w:rFonts w:asciiTheme="majorHAnsi" w:hAnsiTheme="majorHAnsi"/>
                <w:sz w:val="20"/>
                <w:szCs w:val="20"/>
              </w:rPr>
              <w:t xml:space="preserve">Amaç1. Eğitim-öğretim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A.1. Güncel eğitim programlarının katkısıyla öğrenci merkezli bir anlayış̧ benimseyerek; ön lisans, lisans ve lisansüstü̈ düzeylerde Eğitim-öğretim kalitesini sürekli iyileştirerek yaşam boyu öğrenen bireyler yetiştirmek ve onları hayata hazırlamak.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H.1.1. Program müfredatlarını, yenilik ve gelişmeler doğrultusunda çağın gerekliliklerini, insanın ve toplumun ihtiyaçlarını karşılayacak şekilde güncellemek ve çeşitlendirmek.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PG.1.1.3. Akreditasyon süreci devam eden ve süreci tamamlanmış̧ olan program sayısı. </w:t>
            </w:r>
          </w:p>
          <w:p w:rsidR="002F5A6F" w:rsidRPr="00365D86" w:rsidRDefault="002F5A6F" w:rsidP="002F5A6F">
            <w:pPr>
              <w:pStyle w:val="NormalWeb"/>
              <w:spacing w:before="0" w:beforeAutospacing="0" w:after="0" w:afterAutospacing="0"/>
              <w:rPr>
                <w:rFonts w:asciiTheme="majorHAnsi" w:hAnsiTheme="majorHAnsi"/>
                <w:color w:val="000000" w:themeColor="text1"/>
                <w:sz w:val="20"/>
                <w:szCs w:val="20"/>
              </w:rPr>
            </w:pPr>
            <w:r w:rsidRPr="00365D86">
              <w:rPr>
                <w:rFonts w:asciiTheme="majorHAnsi" w:hAnsiTheme="majorHAnsi"/>
                <w:color w:val="000000" w:themeColor="text1"/>
                <w:sz w:val="20"/>
                <w:szCs w:val="20"/>
              </w:rPr>
              <w:t>Amaç̧ 5. Yönetişim</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H.5.2. Üniversite içerisinde personel memnuniyetinin arttırılması. </w:t>
            </w:r>
          </w:p>
          <w:p w:rsidR="0062090D" w:rsidRPr="0062090D" w:rsidRDefault="002F5A6F" w:rsidP="002F5A6F">
            <w:pPr>
              <w:rPr>
                <w:rFonts w:asciiTheme="majorHAnsi" w:hAnsiTheme="majorHAnsi"/>
                <w:sz w:val="20"/>
              </w:rPr>
            </w:pPr>
            <w:r w:rsidRPr="00365D86">
              <w:rPr>
                <w:rFonts w:asciiTheme="majorHAnsi" w:hAnsiTheme="majorHAnsi"/>
                <w:sz w:val="20"/>
                <w:szCs w:val="20"/>
              </w:rPr>
              <w:t>PG.5.2.1. Akademik personel memnuniyet oranı.</w:t>
            </w:r>
            <w:r w:rsidRPr="00365D86">
              <w:rPr>
                <w:rFonts w:asciiTheme="majorHAnsi" w:hAnsiTheme="majorHAnsi"/>
                <w:sz w:val="20"/>
                <w:szCs w:val="20"/>
              </w:rPr>
              <w:br/>
              <w:t>PG.5.2.2. İdari personel memnuniyet oranı.</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2F5A6F" w:rsidRPr="00EB4AE0" w:rsidRDefault="002F5A6F" w:rsidP="002F5A6F">
            <w:pPr>
              <w:spacing w:line="276" w:lineRule="auto"/>
              <w:rPr>
                <w:rFonts w:asciiTheme="majorHAnsi" w:hAnsiTheme="majorHAnsi" w:cs="Times New Roman"/>
                <w:sz w:val="20"/>
                <w:szCs w:val="20"/>
              </w:rPr>
            </w:pPr>
            <w:r w:rsidRPr="00EB4AE0">
              <w:rPr>
                <w:rFonts w:asciiTheme="majorHAnsi" w:hAnsiTheme="majorHAnsi" w:cs="Times New Roman"/>
                <w:sz w:val="20"/>
                <w:szCs w:val="20"/>
              </w:rPr>
              <w:t>A.1. Liderlik ve Kalite</w:t>
            </w:r>
          </w:p>
          <w:p w:rsidR="002F5A6F" w:rsidRPr="00EB4AE0" w:rsidRDefault="002F5A6F" w:rsidP="002F5A6F">
            <w:pPr>
              <w:spacing w:line="276" w:lineRule="auto"/>
              <w:rPr>
                <w:rFonts w:asciiTheme="majorHAnsi" w:hAnsiTheme="majorHAnsi" w:cs="Times New Roman"/>
                <w:sz w:val="20"/>
                <w:szCs w:val="20"/>
              </w:rPr>
            </w:pPr>
            <w:r w:rsidRPr="00EB4AE0">
              <w:rPr>
                <w:rFonts w:asciiTheme="majorHAnsi" w:hAnsiTheme="majorHAnsi" w:cs="Times New Roman"/>
                <w:sz w:val="20"/>
                <w:szCs w:val="20"/>
              </w:rPr>
              <w:t xml:space="preserve">A.1.4. </w:t>
            </w:r>
            <w:proofErr w:type="spellStart"/>
            <w:r w:rsidRPr="00EB4AE0">
              <w:rPr>
                <w:rFonts w:asciiTheme="majorHAnsi" w:hAnsiTheme="majorHAnsi" w:cs="Times New Roman"/>
                <w:sz w:val="20"/>
                <w:szCs w:val="20"/>
              </w:rPr>
              <w:t>İç</w:t>
            </w:r>
            <w:proofErr w:type="spellEnd"/>
            <w:r w:rsidRPr="00EB4AE0">
              <w:rPr>
                <w:rFonts w:asciiTheme="majorHAnsi" w:hAnsiTheme="majorHAnsi" w:cs="Times New Roman"/>
                <w:sz w:val="20"/>
                <w:szCs w:val="20"/>
              </w:rPr>
              <w:t xml:space="preserve"> kalite güvencesi mekanizmaları </w:t>
            </w:r>
          </w:p>
          <w:p w:rsidR="002F5A6F" w:rsidRPr="00EB4AE0" w:rsidRDefault="002F5A6F" w:rsidP="002F5A6F">
            <w:pPr>
              <w:pStyle w:val="NormalWeb"/>
              <w:spacing w:before="0" w:beforeAutospacing="0" w:after="0" w:afterAutospacing="0" w:line="276" w:lineRule="auto"/>
              <w:rPr>
                <w:rFonts w:asciiTheme="majorHAnsi" w:hAnsiTheme="majorHAnsi" w:cs="Calibri"/>
                <w:sz w:val="20"/>
                <w:szCs w:val="20"/>
              </w:rPr>
            </w:pPr>
            <w:r w:rsidRPr="00EB4AE0">
              <w:rPr>
                <w:rFonts w:asciiTheme="majorHAnsi" w:hAnsiTheme="majorHAnsi" w:cs="Calibri"/>
                <w:sz w:val="20"/>
                <w:szCs w:val="20"/>
              </w:rPr>
              <w:t xml:space="preserve">B.1. Program Tasarımı, Değerlendirmesi ve Güncellenmesi </w:t>
            </w:r>
          </w:p>
          <w:p w:rsidR="002F5A6F" w:rsidRPr="00EB4AE0" w:rsidRDefault="002F5A6F" w:rsidP="002F5A6F">
            <w:pPr>
              <w:pStyle w:val="NormalWeb"/>
              <w:shd w:val="clear" w:color="auto" w:fill="FFFFFF"/>
              <w:spacing w:before="0" w:beforeAutospacing="0" w:after="0" w:afterAutospacing="0" w:line="276" w:lineRule="auto"/>
              <w:rPr>
                <w:rFonts w:asciiTheme="majorHAnsi" w:hAnsiTheme="majorHAnsi"/>
                <w:sz w:val="20"/>
                <w:szCs w:val="20"/>
              </w:rPr>
            </w:pPr>
            <w:r w:rsidRPr="00EB4AE0">
              <w:rPr>
                <w:rFonts w:asciiTheme="majorHAnsi" w:hAnsiTheme="majorHAnsi" w:cs="Calibri"/>
                <w:sz w:val="20"/>
                <w:szCs w:val="20"/>
              </w:rPr>
              <w:t xml:space="preserve">B.1.1. Programların tasarımı ve onayı </w:t>
            </w:r>
          </w:p>
          <w:p w:rsidR="0062090D" w:rsidRPr="0062090D" w:rsidRDefault="002F5A6F" w:rsidP="002F5A6F">
            <w:pPr>
              <w:rPr>
                <w:rFonts w:asciiTheme="majorHAnsi" w:hAnsiTheme="majorHAnsi"/>
                <w:sz w:val="20"/>
              </w:rPr>
            </w:pPr>
            <w:r w:rsidRPr="00EB4AE0">
              <w:rPr>
                <w:rFonts w:asciiTheme="majorHAnsi" w:hAnsiTheme="majorHAnsi" w:cs="Times New Roman"/>
                <w:sz w:val="20"/>
                <w:szCs w:val="20"/>
              </w:rPr>
              <w:t>B.1.5. Programların izlenmesi ve güncellenmesi</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2F5A6F" w:rsidRDefault="002F5A6F" w:rsidP="002F5A6F">
            <w:pPr>
              <w:jc w:val="both"/>
              <w:rPr>
                <w:rFonts w:asciiTheme="majorHAnsi" w:hAnsiTheme="majorHAnsi" w:cs="Times New Roman"/>
                <w:sz w:val="20"/>
                <w:szCs w:val="20"/>
              </w:rPr>
            </w:pPr>
            <w:r w:rsidRPr="00365D86">
              <w:rPr>
                <w:rFonts w:asciiTheme="majorHAnsi" w:hAnsiTheme="majorHAnsi" w:cs="Times New Roman"/>
                <w:sz w:val="20"/>
                <w:szCs w:val="20"/>
              </w:rPr>
              <w:t>SKA 4. Nitelikli Eğitim</w:t>
            </w:r>
          </w:p>
          <w:p w:rsidR="00546D65" w:rsidRDefault="00546D65" w:rsidP="00546D65">
            <w:pPr>
              <w:jc w:val="both"/>
              <w:rPr>
                <w:rFonts w:asciiTheme="majorHAnsi" w:hAnsiTheme="majorHAnsi" w:cs="Times New Roman"/>
                <w:sz w:val="20"/>
                <w:szCs w:val="20"/>
              </w:rPr>
            </w:pPr>
            <w:r>
              <w:rPr>
                <w:rFonts w:asciiTheme="majorHAnsi" w:hAnsiTheme="majorHAnsi" w:cs="Times New Roman"/>
                <w:sz w:val="20"/>
                <w:szCs w:val="20"/>
              </w:rPr>
              <w:t>SKA 6. Temiz Su ve Sanitasyon</w:t>
            </w:r>
          </w:p>
          <w:p w:rsidR="00546D65" w:rsidRPr="00365D86" w:rsidRDefault="00546D65" w:rsidP="002F5A6F">
            <w:pPr>
              <w:jc w:val="both"/>
              <w:rPr>
                <w:rFonts w:asciiTheme="majorHAnsi" w:hAnsiTheme="majorHAnsi" w:cs="Times New Roman"/>
                <w:sz w:val="20"/>
                <w:szCs w:val="20"/>
              </w:rPr>
            </w:pPr>
            <w:r>
              <w:rPr>
                <w:rFonts w:asciiTheme="majorHAnsi" w:hAnsiTheme="majorHAnsi" w:cs="Times New Roman"/>
                <w:sz w:val="20"/>
                <w:szCs w:val="20"/>
              </w:rPr>
              <w:t>SKA 7. Erişilebilir ve Temiz Enerji</w:t>
            </w:r>
          </w:p>
          <w:p w:rsidR="002F5A6F" w:rsidRPr="00365D86" w:rsidRDefault="002F5A6F" w:rsidP="002F5A6F">
            <w:pPr>
              <w:jc w:val="both"/>
              <w:rPr>
                <w:rFonts w:asciiTheme="majorHAnsi" w:hAnsiTheme="majorHAnsi" w:cs="Times New Roman"/>
                <w:sz w:val="20"/>
                <w:szCs w:val="20"/>
              </w:rPr>
            </w:pPr>
            <w:r w:rsidRPr="00365D86">
              <w:rPr>
                <w:rFonts w:asciiTheme="majorHAnsi" w:hAnsiTheme="majorHAnsi" w:cs="Times New Roman"/>
                <w:sz w:val="20"/>
                <w:szCs w:val="20"/>
              </w:rPr>
              <w:t>SKA 16. Barış, Adalet ve Güçlü Kurumlar</w:t>
            </w:r>
          </w:p>
          <w:p w:rsidR="0062090D" w:rsidRPr="0062090D" w:rsidRDefault="002F5A6F" w:rsidP="002F5A6F">
            <w:pPr>
              <w:rPr>
                <w:rFonts w:asciiTheme="majorHAnsi" w:hAnsiTheme="majorHAnsi"/>
                <w:sz w:val="20"/>
              </w:rPr>
            </w:pPr>
            <w:r w:rsidRPr="00365D86">
              <w:rPr>
                <w:rFonts w:asciiTheme="majorHAnsi" w:hAnsiTheme="majorHAnsi" w:cs="Times New Roman"/>
                <w:sz w:val="20"/>
                <w:szCs w:val="20"/>
              </w:rPr>
              <w:t>SKA 17. Amaçlar için Ortaklıklar</w:t>
            </w:r>
          </w:p>
        </w:tc>
      </w:tr>
    </w:tbl>
    <w:p w:rsidR="0062090D" w:rsidRDefault="0062090D"/>
    <w:tbl>
      <w:tblPr>
        <w:tblStyle w:val="TabloKlavuzu"/>
        <w:tblW w:w="10141" w:type="dxa"/>
        <w:jc w:val="center"/>
        <w:tblLook w:val="04A0" w:firstRow="1" w:lastRow="0" w:firstColumn="1" w:lastColumn="0" w:noHBand="0" w:noVBand="1"/>
      </w:tblPr>
      <w:tblGrid>
        <w:gridCol w:w="2650"/>
        <w:gridCol w:w="7491"/>
      </w:tblGrid>
      <w:tr w:rsidR="007B2C4C" w:rsidRPr="001F5300" w:rsidTr="007D3C81">
        <w:trPr>
          <w:jc w:val="center"/>
        </w:trPr>
        <w:tc>
          <w:tcPr>
            <w:tcW w:w="10141"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7D3C81">
        <w:trPr>
          <w:jc w:val="center"/>
        </w:trPr>
        <w:tc>
          <w:tcPr>
            <w:tcW w:w="2650"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491" w:type="dxa"/>
            <w:vAlign w:val="center"/>
          </w:tcPr>
          <w:p w:rsidR="0062090D" w:rsidRPr="00C53D3D" w:rsidRDefault="00C53D3D" w:rsidP="001F5300">
            <w:pPr>
              <w:pStyle w:val="AralkYok"/>
              <w:spacing w:line="360" w:lineRule="auto"/>
              <w:rPr>
                <w:rFonts w:asciiTheme="majorHAnsi" w:hAnsiTheme="majorHAnsi"/>
                <w:b/>
                <w:sz w:val="20"/>
                <w:szCs w:val="20"/>
              </w:rPr>
            </w:pPr>
            <w:r w:rsidRPr="00C53D3D">
              <w:rPr>
                <w:rFonts w:asciiTheme="majorHAnsi" w:hAnsiTheme="majorHAnsi"/>
                <w:color w:val="000000"/>
                <w:sz w:val="20"/>
                <w:szCs w:val="20"/>
              </w:rPr>
              <w:t>Kalite Süreçleri ve Kurumsal İyileştirme Çalışmaları</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1</w:t>
            </w:r>
            <w:r w:rsidR="00194B7F">
              <w:rPr>
                <w:rFonts w:asciiTheme="majorHAnsi" w:hAnsiTheme="majorHAnsi"/>
                <w:sz w:val="20"/>
                <w:szCs w:val="20"/>
              </w:rPr>
              <w:t>3</w:t>
            </w:r>
            <w:r>
              <w:rPr>
                <w:rFonts w:asciiTheme="majorHAnsi" w:hAnsiTheme="majorHAnsi"/>
                <w:sz w:val="20"/>
                <w:szCs w:val="20"/>
              </w:rPr>
              <w:t>.</w:t>
            </w:r>
            <w:r w:rsidR="00194B7F">
              <w:rPr>
                <w:rFonts w:asciiTheme="majorHAnsi" w:hAnsiTheme="majorHAnsi"/>
                <w:sz w:val="20"/>
                <w:szCs w:val="20"/>
              </w:rPr>
              <w:t>3</w:t>
            </w:r>
            <w:r>
              <w:rPr>
                <w:rFonts w:asciiTheme="majorHAnsi" w:hAnsiTheme="majorHAnsi"/>
                <w:sz w:val="20"/>
                <w:szCs w:val="20"/>
              </w:rPr>
              <w:t>0</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194B7F" w:rsidRDefault="00194B7F"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Connexium şirketinin yazılım programının dinlenmesi.</w:t>
      </w:r>
    </w:p>
    <w:p w:rsidR="002F5A6F" w:rsidRDefault="002F5A6F"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FIBAA akreditasyon süreci ile ilgili zaman çizelgesinin </w:t>
      </w:r>
      <w:r w:rsidR="00194B7F">
        <w:rPr>
          <w:rFonts w:asciiTheme="majorHAnsi" w:hAnsiTheme="majorHAnsi" w:cs="Times New Roman"/>
          <w:sz w:val="20"/>
          <w:szCs w:val="20"/>
        </w:rPr>
        <w:t>bildirilmesi.</w:t>
      </w:r>
    </w:p>
    <w:p w:rsidR="00194B7F" w:rsidRDefault="00194B7F"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Su ayak izi ve karbon ayak izi hakkında bilgilendirme yapılması.</w:t>
      </w:r>
    </w:p>
    <w:p w:rsidR="00546D65" w:rsidRDefault="00546D65"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sidRPr="003E4EAE">
        <w:rPr>
          <w:rFonts w:ascii="Cambria" w:hAnsi="Cambria"/>
          <w:color w:val="000000"/>
          <w:sz w:val="20"/>
          <w:szCs w:val="20"/>
        </w:rPr>
        <w:lastRenderedPageBreak/>
        <w:t>Enerji Verimliliği ve Su Verimliliği Yönergeler</w:t>
      </w:r>
      <w:r>
        <w:rPr>
          <w:rFonts w:ascii="Cambria" w:hAnsi="Cambria"/>
          <w:color w:val="000000"/>
          <w:sz w:val="20"/>
          <w:szCs w:val="20"/>
        </w:rPr>
        <w:t>i</w:t>
      </w:r>
    </w:p>
    <w:p w:rsidR="00194B7F" w:rsidRDefault="00194B7F"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 İç tetkik süreci ile ilgili görüşlerin paylaşılması</w:t>
      </w:r>
    </w:p>
    <w:p w:rsidR="00194B7F" w:rsidRDefault="00194B7F" w:rsidP="002F5A6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QDMS kalite yönetim sisteminin değerlendirilmesi</w:t>
      </w:r>
    </w:p>
    <w:p w:rsidR="007B2C4C" w:rsidRPr="002F5A6F" w:rsidRDefault="007B2C4C" w:rsidP="002F5A6F">
      <w:pPr>
        <w:widowControl/>
        <w:autoSpaceDE/>
        <w:autoSpaceDN/>
        <w:spacing w:after="200" w:line="276" w:lineRule="auto"/>
        <w:ind w:left="360"/>
        <w:contextualSpacing/>
        <w:jc w:val="both"/>
        <w:rPr>
          <w:rFonts w:asciiTheme="majorHAnsi" w:hAnsiTheme="majorHAnsi" w:cs="Times New Roman"/>
          <w:sz w:val="20"/>
          <w:szCs w:val="20"/>
        </w:rPr>
      </w:pPr>
    </w:p>
    <w:p w:rsidR="001F5300" w:rsidRDefault="001F5300" w:rsidP="007B2C4C">
      <w:pPr>
        <w:spacing w:before="200"/>
        <w:jc w:val="both"/>
        <w:rPr>
          <w:rFonts w:asciiTheme="majorHAnsi" w:hAnsiTheme="majorHAnsi"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207393" w:rsidRPr="00207393" w:rsidRDefault="00207393" w:rsidP="00207393">
      <w:pPr>
        <w:tabs>
          <w:tab w:val="left" w:pos="1418"/>
        </w:tabs>
        <w:spacing w:before="240" w:line="276" w:lineRule="auto"/>
        <w:jc w:val="both"/>
        <w:rPr>
          <w:rFonts w:asciiTheme="majorHAnsi" w:hAnsiTheme="majorHAnsi" w:cs="Times New Roman"/>
          <w:bCs/>
          <w:sz w:val="20"/>
          <w:szCs w:val="20"/>
        </w:rPr>
      </w:pPr>
      <w:r w:rsidRPr="00207393">
        <w:rPr>
          <w:rFonts w:asciiTheme="majorHAnsi" w:hAnsiTheme="majorHAnsi" w:cs="Times New Roman"/>
          <w:bCs/>
          <w:sz w:val="20"/>
          <w:szCs w:val="20"/>
        </w:rPr>
        <w:t>16 program için</w:t>
      </w:r>
      <w:r>
        <w:rPr>
          <w:rFonts w:asciiTheme="majorHAnsi" w:hAnsiTheme="majorHAnsi" w:cs="Times New Roman"/>
          <w:bCs/>
          <w:sz w:val="20"/>
          <w:szCs w:val="20"/>
        </w:rPr>
        <w:t xml:space="preserve"> FIBAA</w:t>
      </w:r>
      <w:r w:rsidRPr="00207393">
        <w:rPr>
          <w:rFonts w:asciiTheme="majorHAnsi" w:hAnsiTheme="majorHAnsi" w:cs="Times New Roman"/>
          <w:bCs/>
          <w:sz w:val="20"/>
          <w:szCs w:val="20"/>
        </w:rPr>
        <w:t xml:space="preserve"> başvuru dosyasının 31.03.2026 tarihine kadar tamamlanmasına</w:t>
      </w:r>
      <w:r>
        <w:rPr>
          <w:rFonts w:asciiTheme="majorHAnsi" w:hAnsiTheme="majorHAnsi" w:cs="Times New Roman"/>
          <w:bCs/>
          <w:sz w:val="20"/>
          <w:szCs w:val="20"/>
        </w:rPr>
        <w:t>; 01.04.2026- 17.04.2026 tarihleri arasında FIBAA başvuru dosyasının birleştirilmesi ve son haline getirilmesine; 18.04.2026 tarihinde FIBAA akreditasyon başvurusunun yapılmasına 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207393" w:rsidRPr="00207393" w:rsidRDefault="00207393" w:rsidP="00207393">
      <w:pPr>
        <w:tabs>
          <w:tab w:val="left" w:pos="1418"/>
        </w:tabs>
        <w:spacing w:before="240" w:line="276" w:lineRule="auto"/>
        <w:jc w:val="both"/>
        <w:rPr>
          <w:rFonts w:ascii="Cambria" w:hAnsi="Cambria" w:cs="Times New Roman"/>
          <w:sz w:val="20"/>
          <w:szCs w:val="20"/>
        </w:rPr>
      </w:pPr>
      <w:r w:rsidRPr="00207393">
        <w:rPr>
          <w:rFonts w:ascii="Cambria" w:hAnsi="Cambria"/>
          <w:color w:val="000000"/>
          <w:sz w:val="20"/>
          <w:szCs w:val="20"/>
        </w:rPr>
        <w:t>Üniversitemiz bünyesinde yürütülen 16 programın eğitim-öğretim kalitesinin uluslararası standartlara uygunluğunun belgelendirilmesi, kalite güvence sisteminin güçlendirilmesi ve kurumsal görünürlüğün artırılması amacıyla FIBAA akreditasyon sürecine başvurulmasına ihtiyaç duyulmuştur. Sürecin planlı, koordineli ve belirlenen takvim doğrultusunda yürütülebilmesi için başvuru hazırlık aşamalarının tarihsel olarak yapılandırılması gerekli görülmüştür.</w:t>
      </w:r>
    </w:p>
    <w:p w:rsidR="00851E54"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207393" w:rsidRDefault="00207393" w:rsidP="00207393">
      <w:pPr>
        <w:tabs>
          <w:tab w:val="left" w:pos="1418"/>
        </w:tabs>
        <w:spacing w:before="240" w:line="276" w:lineRule="auto"/>
        <w:jc w:val="both"/>
        <w:rPr>
          <w:rFonts w:ascii="Cambria" w:hAnsi="Cambria"/>
          <w:color w:val="000000"/>
          <w:sz w:val="20"/>
          <w:szCs w:val="20"/>
        </w:rPr>
      </w:pPr>
      <w:r w:rsidRPr="00207393">
        <w:rPr>
          <w:rFonts w:ascii="Cambria" w:hAnsi="Cambria"/>
          <w:color w:val="000000"/>
          <w:sz w:val="20"/>
          <w:szCs w:val="20"/>
        </w:rPr>
        <w:t>Karar kapsamında, 16 programa ilişkin FIBAA başvuru dosyalarının belirlenen tarihe kadar program bazında hazırlanması, ardından tüm dosyaların bütüncül bir yapıda birleştirilerek gerekli akademik ve idari kontrollerden geçirilmesi ve nihai başvuru dosyasının oluşturulması sürecine ilişkin çalışma takvimi belirlenmiştir; başvurunun ise ilan edilen tarihte resmi olarak yapılması öngörülmüştür.</w:t>
      </w:r>
    </w:p>
    <w:p w:rsidR="009D4D11" w:rsidRDefault="009D4D11" w:rsidP="009D4D11">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sidR="00600014">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D32A35" w:rsidRDefault="00D32A35" w:rsidP="007B2C4C">
      <w:pPr>
        <w:jc w:val="both"/>
        <w:rPr>
          <w:rFonts w:asciiTheme="majorHAnsi" w:hAnsiTheme="majorHAnsi" w:cs="Times New Roman"/>
          <w:b/>
          <w:sz w:val="20"/>
          <w:szCs w:val="20"/>
        </w:rPr>
      </w:pPr>
    </w:p>
    <w:p w:rsidR="009D4D11" w:rsidRPr="009D4D11" w:rsidRDefault="009D4D11" w:rsidP="009D4D11">
      <w:pPr>
        <w:spacing w:line="276" w:lineRule="auto"/>
        <w:jc w:val="both"/>
        <w:rPr>
          <w:rFonts w:ascii="Cambria" w:hAnsi="Cambria"/>
          <w:color w:val="000000"/>
          <w:sz w:val="20"/>
          <w:szCs w:val="20"/>
        </w:rPr>
      </w:pPr>
      <w:r w:rsidRPr="009D4D11">
        <w:rPr>
          <w:rFonts w:ascii="Cambria" w:hAnsi="Cambria"/>
          <w:color w:val="000000"/>
          <w:sz w:val="20"/>
          <w:szCs w:val="20"/>
        </w:rPr>
        <w:t>İç tetkik süreci kapsamında yapılan değerlendirmelere ilişkin görüşlerin paylaşılmış olduğu, tespit edilen uygunsuzluklara yönelik Düzeltici ve Önleyici Faaliyetlerin (DÖF) ilgili birimlere iletildiği ve iç tetkik raporlarının hazırlanmasına başlanmış olduğu görülmüş olup, sürecin belirlenen kalite güvence takvimi doğrultusunda tamamlanmasına ve raporların konsolide edilerek üst yönetime sunulmasına karar verilmiştir.</w:t>
      </w:r>
    </w:p>
    <w:p w:rsidR="009D4D11" w:rsidRDefault="009D4D11" w:rsidP="009D4D11">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9D4D11" w:rsidRPr="00756991" w:rsidRDefault="00756991" w:rsidP="00756991">
      <w:pPr>
        <w:spacing w:before="240" w:line="276" w:lineRule="auto"/>
        <w:jc w:val="both"/>
        <w:rPr>
          <w:rFonts w:asciiTheme="majorHAnsi" w:hAnsiTheme="majorHAnsi" w:cs="Times New Roman"/>
          <w:bCs/>
          <w:sz w:val="20"/>
          <w:szCs w:val="20"/>
        </w:rPr>
      </w:pPr>
      <w:r w:rsidRPr="00756991">
        <w:rPr>
          <w:rFonts w:asciiTheme="majorHAnsi" w:hAnsiTheme="majorHAnsi" w:cs="Times New Roman"/>
          <w:bCs/>
          <w:sz w:val="20"/>
          <w:szCs w:val="20"/>
        </w:rPr>
        <w:t>Kurumsal kalite güvence sisteminin etkinliğinin artırılması, süreçlerde tespit edilen iyileştirmeye açık alanların sistematik şekilde giderilmesi ve sürekli iyileştirme yaklaşımının güçlendirilmesi amacıyla yürütülen iç tetkik sürecinin planlı ve sonuç odaklı biçimde tamamlanması gerekliliği doğmuştur.</w:t>
      </w:r>
    </w:p>
    <w:p w:rsidR="009D4D11" w:rsidRDefault="009D4D11" w:rsidP="009D4D11">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756991" w:rsidRDefault="00756991" w:rsidP="00756991">
      <w:pPr>
        <w:tabs>
          <w:tab w:val="left" w:pos="1418"/>
        </w:tabs>
        <w:spacing w:before="240" w:line="276" w:lineRule="auto"/>
        <w:jc w:val="both"/>
        <w:rPr>
          <w:rFonts w:asciiTheme="majorHAnsi" w:hAnsiTheme="majorHAnsi" w:cs="Times New Roman"/>
          <w:sz w:val="20"/>
          <w:szCs w:val="20"/>
        </w:rPr>
      </w:pPr>
      <w:r w:rsidRPr="00756991">
        <w:rPr>
          <w:rFonts w:asciiTheme="majorHAnsi" w:hAnsiTheme="majorHAnsi" w:cs="Times New Roman"/>
          <w:sz w:val="20"/>
          <w:szCs w:val="20"/>
        </w:rPr>
        <w:t xml:space="preserve">Karar kapsamında, iç tetkik bulgularına ilişkin hazırlanan DÖF’lerin ilgili birimler tarafından takip edilmesi, iç tetkik raporlarının tamamlanarak birleştirilmesi ve değerlendirme sonuçlarının kurumsal kalite iyileştirme çalışmalarına girdi oluşturacak şekilde üst yönetime sunulmasına yönelik sürecin takvimlendirilmesi ve </w:t>
      </w:r>
      <w:r w:rsidRPr="00756991">
        <w:rPr>
          <w:rFonts w:asciiTheme="majorHAnsi" w:hAnsiTheme="majorHAnsi" w:cs="Times New Roman"/>
          <w:sz w:val="20"/>
          <w:szCs w:val="20"/>
        </w:rPr>
        <w:lastRenderedPageBreak/>
        <w:t>koordinasyonunun sağlanması öngörülmüştür.</w:t>
      </w:r>
    </w:p>
    <w:p w:rsidR="00207393" w:rsidRDefault="00207393" w:rsidP="007B2C4C">
      <w:pPr>
        <w:jc w:val="both"/>
        <w:rPr>
          <w:rFonts w:asciiTheme="majorHAnsi" w:hAnsiTheme="majorHAnsi" w:cs="Times New Roman"/>
          <w:b/>
          <w:sz w:val="20"/>
          <w:szCs w:val="20"/>
        </w:rPr>
      </w:pPr>
    </w:p>
    <w:p w:rsidR="00546D65" w:rsidRDefault="00546D65" w:rsidP="00546D65">
      <w:pPr>
        <w:jc w:val="both"/>
        <w:rPr>
          <w:rFonts w:asciiTheme="majorHAnsi" w:hAnsiTheme="majorHAnsi" w:cs="Times New Roman"/>
          <w:b/>
          <w:sz w:val="20"/>
          <w:szCs w:val="20"/>
        </w:rPr>
      </w:pPr>
      <w:r>
        <w:rPr>
          <w:rFonts w:asciiTheme="majorHAnsi" w:hAnsiTheme="majorHAnsi" w:cs="Times New Roman"/>
          <w:b/>
          <w:sz w:val="20"/>
          <w:szCs w:val="20"/>
        </w:rPr>
        <w:t>Karar No 3:</w:t>
      </w:r>
    </w:p>
    <w:p w:rsidR="00546D65" w:rsidRDefault="00546D65" w:rsidP="00546D65">
      <w:pPr>
        <w:jc w:val="both"/>
        <w:rPr>
          <w:rFonts w:asciiTheme="majorHAnsi" w:hAnsiTheme="majorHAnsi" w:cs="Times New Roman"/>
          <w:b/>
          <w:sz w:val="20"/>
          <w:szCs w:val="20"/>
        </w:rPr>
      </w:pPr>
    </w:p>
    <w:p w:rsidR="00546D65" w:rsidRPr="003E4EAE" w:rsidRDefault="00546D65" w:rsidP="00546D65">
      <w:pPr>
        <w:jc w:val="both"/>
        <w:rPr>
          <w:rFonts w:ascii="Cambria" w:hAnsi="Cambria"/>
          <w:color w:val="000000"/>
          <w:sz w:val="20"/>
          <w:szCs w:val="20"/>
        </w:rPr>
      </w:pPr>
      <w:r w:rsidRPr="003E4EAE">
        <w:rPr>
          <w:rFonts w:ascii="Cambria" w:hAnsi="Cambria"/>
          <w:color w:val="000000"/>
          <w:sz w:val="20"/>
          <w:szCs w:val="20"/>
        </w:rPr>
        <w:t>Sürdürülebilir kampüs ve kaynakların etkin kullanımı amacıyla hazırlanan Enerji Verimliliği ve Su Verimliliği Yönergelerinin Üniversite Senatosu tarafından onaylanarak yürürlüğe konulmasına karar verilmiştir.</w:t>
      </w:r>
    </w:p>
    <w:p w:rsidR="00546D65" w:rsidRDefault="00546D65" w:rsidP="00546D65">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546D65" w:rsidRDefault="00546D65" w:rsidP="00546D65">
      <w:pPr>
        <w:jc w:val="both"/>
        <w:rPr>
          <w:rFonts w:ascii="-webkit-standard" w:hAnsi="-webkit-standard"/>
          <w:color w:val="000000"/>
          <w:sz w:val="27"/>
          <w:szCs w:val="27"/>
        </w:rPr>
      </w:pPr>
    </w:p>
    <w:p w:rsidR="00546D65" w:rsidRPr="003E4EAE" w:rsidRDefault="00546D65" w:rsidP="00546D65">
      <w:pPr>
        <w:jc w:val="both"/>
        <w:rPr>
          <w:rFonts w:ascii="Cambria" w:hAnsi="Cambria"/>
          <w:color w:val="000000"/>
          <w:sz w:val="20"/>
          <w:szCs w:val="20"/>
        </w:rPr>
      </w:pPr>
      <w:r w:rsidRPr="003E4EAE">
        <w:rPr>
          <w:rFonts w:ascii="Cambria" w:hAnsi="Cambria"/>
          <w:color w:val="000000"/>
          <w:sz w:val="20"/>
          <w:szCs w:val="20"/>
        </w:rPr>
        <w:t>Üniversitemizde sürdürülebilir kampüs yaklaşımının güçlendirilmesi, enerji ve su kaynaklarının verimli ve bilinçli kullanılması, çevresel etkilerin azaltılması ve kurumsal kalite çalışmaları kapsamında kaynak yönetiminin iyileştirilmesi amacıyla Enerji Verimliliği Yönergesi ve Su Verimliliği Yönergesi hazırlanmıştır. Kampüs genelinde tasarruf tedbirlerinin yaygınlaştırılması, çevresel farkındalığın artırılması ve sürdürülebilir yönetim anlayışının kurumsallaştırılması amacıyla söz konusu yönergelerin yürürlüğe alınması gerekli görülmüştür.</w:t>
      </w:r>
    </w:p>
    <w:p w:rsidR="00546D65" w:rsidRPr="003E4EAE" w:rsidRDefault="00546D65" w:rsidP="00546D65">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546D65" w:rsidRPr="003E4EAE" w:rsidRDefault="00546D65" w:rsidP="00546D65">
      <w:pPr>
        <w:pStyle w:val="NormalWeb"/>
        <w:rPr>
          <w:rFonts w:ascii="Cambria" w:hAnsi="Cambria"/>
          <w:color w:val="000000"/>
          <w:sz w:val="20"/>
          <w:szCs w:val="20"/>
        </w:rPr>
      </w:pPr>
      <w:r w:rsidRPr="003E4EAE">
        <w:rPr>
          <w:rFonts w:ascii="Cambria" w:hAnsi="Cambria"/>
          <w:color w:val="000000"/>
          <w:sz w:val="20"/>
          <w:szCs w:val="20"/>
        </w:rPr>
        <w:t>Sürdürülebilir kampüs ve kaynakların etkin kullanımını sağlamak amacıyla hazırlanan Enerji Verimliliği Yönergesi ve Su Verimliliği Yönergesi Üniversite Senatosu tarafından onaylanarak yürürlüğe girmiştir. Söz konusu yönergeler; kampüs genelinde enerji tüketiminin optimize edilmesi, su kaynaklarının sürdürülebilir şekilde yönetilmesi, tasarruf tedbirlerinin uygulanması ve çevresel farkındalığın artırılması konularını kapsamaktadır. Yönergeler akademik ve idari tüm birimler için bağlayıcı nitelikte olup üniversitemizin çevreye duyarlı yönetim anlayışının ve kalite politikasının önemli bir parçasını oluşturmaktadır.</w:t>
      </w:r>
    </w:p>
    <w:p w:rsidR="009D4D11" w:rsidRDefault="009D4D11" w:rsidP="007B2C4C">
      <w:pPr>
        <w:jc w:val="both"/>
        <w:rPr>
          <w:rFonts w:asciiTheme="majorHAnsi" w:hAnsiTheme="majorHAnsi" w:cs="Times New Roman"/>
          <w:b/>
          <w:sz w:val="20"/>
          <w:szCs w:val="20"/>
        </w:rPr>
      </w:pPr>
    </w:p>
    <w:p w:rsidR="009D4D11" w:rsidRDefault="0038056D" w:rsidP="007B2C4C">
      <w:pPr>
        <w:jc w:val="both"/>
        <w:rPr>
          <w:rFonts w:asciiTheme="majorHAnsi" w:hAnsiTheme="majorHAnsi" w:cs="Times New Roman"/>
          <w:b/>
          <w:sz w:val="20"/>
          <w:szCs w:val="20"/>
        </w:rPr>
      </w:pPr>
      <w:r>
        <w:rPr>
          <w:rFonts w:asciiTheme="majorHAnsi" w:hAnsiTheme="majorHAnsi" w:cs="Times New Roman"/>
          <w:b/>
          <w:sz w:val="20"/>
          <w:szCs w:val="20"/>
        </w:rPr>
        <w:t>Karar No 4:</w:t>
      </w:r>
    </w:p>
    <w:p w:rsidR="0038056D" w:rsidRDefault="0038056D" w:rsidP="007B2C4C">
      <w:pPr>
        <w:jc w:val="both"/>
        <w:rPr>
          <w:rFonts w:asciiTheme="majorHAnsi" w:hAnsiTheme="majorHAnsi" w:cs="Times New Roman"/>
          <w:b/>
          <w:sz w:val="20"/>
          <w:szCs w:val="20"/>
        </w:rPr>
      </w:pPr>
    </w:p>
    <w:p w:rsidR="0038056D" w:rsidRPr="0038056D" w:rsidRDefault="0038056D" w:rsidP="007B2C4C">
      <w:pPr>
        <w:jc w:val="both"/>
        <w:rPr>
          <w:rFonts w:asciiTheme="majorHAnsi" w:hAnsiTheme="majorHAnsi" w:cs="Times New Roman"/>
          <w:bCs/>
          <w:sz w:val="20"/>
          <w:szCs w:val="20"/>
        </w:rPr>
      </w:pPr>
      <w:r w:rsidRPr="0038056D">
        <w:rPr>
          <w:rFonts w:asciiTheme="majorHAnsi" w:hAnsiTheme="majorHAnsi"/>
          <w:color w:val="000000"/>
          <w:sz w:val="20"/>
          <w:szCs w:val="20"/>
        </w:rPr>
        <w:t>Paydaş geri bildirimleri doğrultusunda kampüs kablosuz ağ altyapısının güçlendirilmesine ve ilgili birimlerde kablosuz ağ kapasitesinin artırılmasına karar verilmiştir.</w:t>
      </w:r>
    </w:p>
    <w:p w:rsidR="0038056D" w:rsidRDefault="0038056D" w:rsidP="0038056D">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38056D" w:rsidRPr="0038056D" w:rsidRDefault="0038056D" w:rsidP="007B2C4C">
      <w:pPr>
        <w:jc w:val="both"/>
        <w:rPr>
          <w:rFonts w:asciiTheme="majorHAnsi" w:hAnsiTheme="majorHAnsi" w:cs="Times New Roman"/>
          <w:b/>
          <w:sz w:val="20"/>
          <w:szCs w:val="20"/>
        </w:rPr>
      </w:pPr>
    </w:p>
    <w:p w:rsidR="009D4D11" w:rsidRPr="0038056D" w:rsidRDefault="0038056D" w:rsidP="007B2C4C">
      <w:pPr>
        <w:jc w:val="both"/>
        <w:rPr>
          <w:rFonts w:asciiTheme="majorHAnsi" w:hAnsiTheme="majorHAnsi"/>
          <w:color w:val="000000"/>
          <w:sz w:val="20"/>
          <w:szCs w:val="20"/>
        </w:rPr>
      </w:pPr>
      <w:r w:rsidRPr="0038056D">
        <w:rPr>
          <w:rFonts w:asciiTheme="majorHAnsi" w:hAnsiTheme="majorHAnsi"/>
          <w:color w:val="000000"/>
          <w:sz w:val="20"/>
          <w:szCs w:val="20"/>
        </w:rPr>
        <w:t>Üniversitemizde yürütülen kalite çalışmaları kapsamında paydaş geri bildirimleri değerlendirilmiş; akademik ve idari personel ile öğrencilerin daha hızlı, kesintisiz ve güvenli internet erişimi sağlayabilmesi amacıyla kampüs kablosuz ağ altyapısının iyileştirilmesine ihtiyaç duyulmuştur. Dijital öğrenme ve çalışma ortamlarının desteklenmesi ile kullanıcı memnuniyetinin artırılması amacıyla söz konusu iyileştirmelerin yapılması gerekli görülmüştür.</w:t>
      </w:r>
    </w:p>
    <w:p w:rsidR="0038056D" w:rsidRPr="003E4EAE" w:rsidRDefault="0038056D" w:rsidP="0038056D">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38056D" w:rsidRPr="0038056D" w:rsidRDefault="0038056D" w:rsidP="007B2C4C">
      <w:pPr>
        <w:jc w:val="both"/>
        <w:rPr>
          <w:rFonts w:asciiTheme="majorHAnsi" w:hAnsiTheme="majorHAnsi"/>
          <w:color w:val="000000"/>
          <w:sz w:val="20"/>
          <w:szCs w:val="20"/>
        </w:rPr>
      </w:pPr>
    </w:p>
    <w:p w:rsidR="0038056D" w:rsidRPr="0038056D" w:rsidRDefault="0038056D" w:rsidP="007B2C4C">
      <w:pPr>
        <w:jc w:val="both"/>
        <w:rPr>
          <w:rFonts w:asciiTheme="majorHAnsi" w:hAnsiTheme="majorHAnsi" w:cs="Times New Roman"/>
          <w:b/>
          <w:sz w:val="20"/>
          <w:szCs w:val="20"/>
        </w:rPr>
      </w:pPr>
      <w:r w:rsidRPr="0038056D">
        <w:rPr>
          <w:rFonts w:asciiTheme="majorHAnsi" w:hAnsiTheme="majorHAnsi"/>
          <w:color w:val="000000"/>
          <w:sz w:val="20"/>
          <w:szCs w:val="20"/>
        </w:rPr>
        <w:t>Kalite çalışmaları kapsamında paydaş geri bildirimleri doğrultusunda kampüs kablosuz ağ altyapısında iyileştirme çalışmaları gerçekleştirilmiş ve ilgili birimlerde kablosuz ağ kapasitesi artırılmıştır. Yapılan çalışmalar ile akademik ve idari personel ile öğrencilerin daha hızlı, kesintisiz ve güvenli internet erişimi sağlaması hedeflenmiş; dijital öğrenme ve çalışma ortamlarının güçlendirilmesine katkı sağlanmıştır.</w:t>
      </w:r>
    </w:p>
    <w:p w:rsidR="009D4D11" w:rsidRDefault="009D4D11" w:rsidP="007B2C4C">
      <w:pPr>
        <w:jc w:val="both"/>
        <w:rPr>
          <w:rFonts w:asciiTheme="majorHAnsi" w:hAnsiTheme="majorHAnsi" w:cs="Times New Roman"/>
          <w:b/>
          <w:sz w:val="20"/>
          <w:szCs w:val="20"/>
        </w:rPr>
      </w:pPr>
    </w:p>
    <w:p w:rsidR="0038056D" w:rsidRDefault="0038056D" w:rsidP="007B2C4C">
      <w:pPr>
        <w:jc w:val="both"/>
        <w:rPr>
          <w:rFonts w:asciiTheme="majorHAnsi" w:hAnsiTheme="majorHAnsi" w:cs="Times New Roman"/>
          <w:b/>
          <w:sz w:val="20"/>
          <w:szCs w:val="20"/>
        </w:rPr>
      </w:pPr>
    </w:p>
    <w:p w:rsidR="00A4409C" w:rsidRDefault="00A4409C" w:rsidP="00A4409C">
      <w:pPr>
        <w:jc w:val="both"/>
        <w:rPr>
          <w:rFonts w:asciiTheme="majorHAnsi" w:hAnsiTheme="majorHAnsi" w:cs="Times New Roman"/>
          <w:b/>
          <w:sz w:val="20"/>
          <w:szCs w:val="20"/>
        </w:rPr>
      </w:pPr>
      <w:r>
        <w:rPr>
          <w:rFonts w:asciiTheme="majorHAnsi" w:hAnsiTheme="majorHAnsi" w:cs="Times New Roman"/>
          <w:b/>
          <w:sz w:val="20"/>
          <w:szCs w:val="20"/>
        </w:rPr>
        <w:t>Karar No 5:</w:t>
      </w:r>
    </w:p>
    <w:p w:rsidR="0038056D" w:rsidRDefault="0038056D" w:rsidP="007B2C4C">
      <w:pPr>
        <w:jc w:val="both"/>
        <w:rPr>
          <w:rFonts w:asciiTheme="majorHAnsi" w:hAnsiTheme="majorHAnsi" w:cs="Times New Roman"/>
          <w:b/>
          <w:sz w:val="20"/>
          <w:szCs w:val="20"/>
        </w:rPr>
      </w:pPr>
    </w:p>
    <w:p w:rsidR="00A4409C" w:rsidRPr="00A4409C" w:rsidRDefault="00A4409C" w:rsidP="00A4409C">
      <w:pPr>
        <w:ind w:left="720"/>
        <w:jc w:val="both"/>
        <w:rPr>
          <w:rFonts w:asciiTheme="majorHAnsi" w:hAnsiTheme="majorHAnsi" w:cs="Times New Roman"/>
          <w:bCs/>
          <w:sz w:val="20"/>
          <w:szCs w:val="20"/>
        </w:rPr>
      </w:pPr>
      <w:r w:rsidRPr="00A4409C">
        <w:rPr>
          <w:rFonts w:asciiTheme="majorHAnsi" w:hAnsiTheme="majorHAnsi" w:cs="Times New Roman"/>
          <w:bCs/>
          <w:sz w:val="20"/>
          <w:szCs w:val="20"/>
        </w:rPr>
        <w:t xml:space="preserve">FRM-0084 Kurum Dışı Eğitim Bilgi Formu </w:t>
      </w:r>
    </w:p>
    <w:p w:rsidR="0038056D" w:rsidRDefault="00A4409C" w:rsidP="007B2C4C">
      <w:pPr>
        <w:jc w:val="both"/>
        <w:rPr>
          <w:rFonts w:asciiTheme="majorHAnsi" w:hAnsiTheme="majorHAnsi" w:cs="Times New Roman"/>
          <w:b/>
          <w:sz w:val="20"/>
          <w:szCs w:val="20"/>
        </w:rPr>
      </w:pPr>
      <w:r>
        <w:rPr>
          <w:rFonts w:asciiTheme="majorHAnsi" w:hAnsiTheme="majorHAnsi"/>
          <w:sz w:val="20"/>
          <w:szCs w:val="20"/>
        </w:rPr>
        <w:t>Yukarıda belirtilen formun güncellenerek yayımlanmasına karar verilmiştir.</w:t>
      </w: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lastRenderedPageBreak/>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0"/>
        <w:gridCol w:w="1542"/>
        <w:gridCol w:w="1513"/>
        <w:gridCol w:w="1622"/>
        <w:gridCol w:w="1542"/>
        <w:gridCol w:w="1514"/>
      </w:tblGrid>
      <w:tr w:rsidR="007D3C81" w:rsidRPr="001F5300" w:rsidTr="002E3179">
        <w:trPr>
          <w:jc w:val="center"/>
        </w:trPr>
        <w:tc>
          <w:tcPr>
            <w:tcW w:w="2210" w:type="dxa"/>
            <w:vAlign w:val="center"/>
          </w:tcPr>
          <w:p w:rsidR="007D3C81" w:rsidRPr="001F5300" w:rsidRDefault="007D3C81" w:rsidP="002E3179">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542" w:type="dxa"/>
            <w:vAlign w:val="center"/>
          </w:tcPr>
          <w:p w:rsidR="007D3C81" w:rsidRPr="001F5300" w:rsidRDefault="007D3C81" w:rsidP="002E3179">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13" w:type="dxa"/>
            <w:vAlign w:val="center"/>
          </w:tcPr>
          <w:p w:rsidR="007D3C81" w:rsidRPr="001F5300" w:rsidRDefault="007D3C81" w:rsidP="002E3179">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1622" w:type="dxa"/>
            <w:vAlign w:val="center"/>
          </w:tcPr>
          <w:p w:rsidR="007D3C81" w:rsidRPr="001F5300" w:rsidRDefault="007D3C81" w:rsidP="002E3179">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542" w:type="dxa"/>
            <w:vAlign w:val="center"/>
          </w:tcPr>
          <w:p w:rsidR="007D3C81" w:rsidRPr="001F5300" w:rsidRDefault="007D3C81" w:rsidP="002E3179">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14" w:type="dxa"/>
            <w:vAlign w:val="center"/>
          </w:tcPr>
          <w:p w:rsidR="007D3C81" w:rsidRPr="001F5300" w:rsidRDefault="007D3C81" w:rsidP="002E3179">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H. Mahir FİSUNOĞLU</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9</w:t>
            </w:r>
            <w:r w:rsidRPr="001F5300">
              <w:rPr>
                <w:rFonts w:asciiTheme="majorHAnsi" w:hAnsiTheme="majorHAnsi"/>
                <w:sz w:val="20"/>
                <w:szCs w:val="20"/>
              </w:rPr>
              <w:t xml:space="preserve">. </w:t>
            </w:r>
            <w:r>
              <w:rPr>
                <w:rFonts w:asciiTheme="majorHAnsi" w:hAnsiTheme="majorHAnsi"/>
                <w:sz w:val="20"/>
                <w:szCs w:val="20"/>
              </w:rPr>
              <w:t>Eda YAŞA ÖZELTÜRKAY</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F37C3E"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Şenol KANDEMİR</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12. Süreyya YILMAZ ÖZEKENCİ</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Gürcan DEMİROGLARI</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proofErr w:type="gramStart"/>
            <w:r>
              <w:rPr>
                <w:rFonts w:asciiTheme="majorHAnsi" w:hAnsiTheme="majorHAnsi"/>
                <w:sz w:val="20"/>
                <w:szCs w:val="20"/>
              </w:rPr>
              <w:t>13. .</w:t>
            </w:r>
            <w:proofErr w:type="gramEnd"/>
            <w:r>
              <w:rPr>
                <w:rFonts w:asciiTheme="majorHAnsi" w:hAnsiTheme="majorHAnsi"/>
                <w:sz w:val="20"/>
                <w:szCs w:val="20"/>
              </w:rPr>
              <w:t xml:space="preserve"> Emre Kadir ÖZEKENCİ</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proofErr w:type="spellStart"/>
            <w:r>
              <w:rPr>
                <w:rFonts w:asciiTheme="majorHAnsi" w:hAnsiTheme="majorHAnsi"/>
                <w:sz w:val="20"/>
                <w:szCs w:val="20"/>
              </w:rPr>
              <w:t>Doç</w:t>
            </w:r>
            <w:proofErr w:type="spellEnd"/>
            <w:r>
              <w:rPr>
                <w:rFonts w:asciiTheme="majorHAnsi" w:hAnsiTheme="majorHAnsi"/>
                <w:sz w:val="20"/>
                <w:szCs w:val="20"/>
              </w:rPr>
              <w:t xml:space="preserve"> Dr. </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Y. Anıl AY</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14. Oğuzhan ÇAVUŞOĞLU</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Yonca BİR</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15. Tuğçe KANDİLCİ</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Duygu GÜR</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Default="002E3179" w:rsidP="002E3179">
            <w:pPr>
              <w:pStyle w:val="AralkYok"/>
              <w:spacing w:line="276" w:lineRule="auto"/>
              <w:rPr>
                <w:rFonts w:asciiTheme="majorHAnsi" w:hAnsiTheme="majorHAnsi"/>
                <w:sz w:val="20"/>
                <w:szCs w:val="20"/>
              </w:rPr>
            </w:pPr>
            <w:r>
              <w:rPr>
                <w:rFonts w:asciiTheme="majorHAnsi" w:hAnsiTheme="majorHAnsi"/>
                <w:sz w:val="20"/>
                <w:szCs w:val="20"/>
              </w:rPr>
              <w:t>16. Burcu DEMİROGLARI</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Alper YILDIZ</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5</w:t>
            </w:r>
            <w:r w:rsidRPr="001F5300">
              <w:rPr>
                <w:rFonts w:asciiTheme="majorHAnsi" w:hAnsiTheme="majorHAnsi"/>
                <w:sz w:val="20"/>
                <w:szCs w:val="20"/>
              </w:rPr>
              <w:t xml:space="preserve">. </w:t>
            </w:r>
            <w:r>
              <w:rPr>
                <w:rFonts w:asciiTheme="majorHAnsi" w:hAnsiTheme="majorHAnsi"/>
                <w:sz w:val="20"/>
                <w:szCs w:val="20"/>
              </w:rPr>
              <w:t>Taylan TUTKUNCA</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E3179" w:rsidRPr="001F5300" w:rsidTr="002E3179">
        <w:trPr>
          <w:jc w:val="center"/>
        </w:trPr>
        <w:tc>
          <w:tcPr>
            <w:tcW w:w="2210" w:type="dxa"/>
            <w:vAlign w:val="center"/>
          </w:tcPr>
          <w:p w:rsidR="002E3179" w:rsidRPr="001F5300" w:rsidRDefault="002E3179" w:rsidP="002E3179">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 xml:space="preserve">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13"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622"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542" w:type="dxa"/>
            <w:vAlign w:val="center"/>
          </w:tcPr>
          <w:p w:rsidR="002E3179" w:rsidRPr="001F5300" w:rsidRDefault="002E3179" w:rsidP="002E3179">
            <w:pPr>
              <w:pStyle w:val="AralkYok"/>
              <w:spacing w:line="276" w:lineRule="auto"/>
              <w:rPr>
                <w:rFonts w:asciiTheme="majorHAnsi" w:hAnsiTheme="majorHAnsi"/>
                <w:sz w:val="20"/>
                <w:szCs w:val="20"/>
              </w:rPr>
            </w:pPr>
          </w:p>
        </w:tc>
        <w:tc>
          <w:tcPr>
            <w:tcW w:w="1514" w:type="dxa"/>
            <w:vAlign w:val="center"/>
          </w:tcPr>
          <w:p w:rsidR="002E3179" w:rsidRPr="001F5300" w:rsidRDefault="002E3179" w:rsidP="002E3179">
            <w:pPr>
              <w:pStyle w:val="AralkYok"/>
              <w:spacing w:line="276" w:lineRule="auto"/>
              <w:rPr>
                <w:rFonts w:asciiTheme="majorHAnsi" w:hAnsiTheme="majorHAnsi"/>
                <w:sz w:val="20"/>
                <w:szCs w:val="20"/>
              </w:rPr>
            </w:pPr>
          </w:p>
        </w:tc>
      </w:tr>
      <w:tr w:rsidR="0028587D" w:rsidRPr="001F5300" w:rsidTr="0028587D">
        <w:trPr>
          <w:trHeight w:val="547"/>
          <w:jc w:val="center"/>
        </w:trPr>
        <w:tc>
          <w:tcPr>
            <w:tcW w:w="2210" w:type="dxa"/>
            <w:vAlign w:val="center"/>
          </w:tcPr>
          <w:p w:rsidR="0028587D" w:rsidRDefault="0028587D" w:rsidP="0028587D">
            <w:pPr>
              <w:pStyle w:val="AralkYok"/>
              <w:spacing w:line="276" w:lineRule="auto"/>
              <w:rPr>
                <w:rFonts w:asciiTheme="majorHAnsi" w:hAnsiTheme="majorHAnsi"/>
                <w:sz w:val="20"/>
                <w:szCs w:val="20"/>
              </w:rPr>
            </w:pPr>
          </w:p>
        </w:tc>
        <w:tc>
          <w:tcPr>
            <w:tcW w:w="1542" w:type="dxa"/>
            <w:vAlign w:val="center"/>
          </w:tcPr>
          <w:p w:rsidR="0028587D" w:rsidRDefault="0028587D" w:rsidP="002E3179">
            <w:pPr>
              <w:pStyle w:val="AralkYok"/>
              <w:spacing w:line="276" w:lineRule="auto"/>
              <w:rPr>
                <w:rFonts w:asciiTheme="majorHAnsi" w:hAnsiTheme="majorHAnsi"/>
                <w:sz w:val="20"/>
                <w:szCs w:val="20"/>
              </w:rPr>
            </w:pPr>
          </w:p>
        </w:tc>
        <w:tc>
          <w:tcPr>
            <w:tcW w:w="1513" w:type="dxa"/>
            <w:vAlign w:val="center"/>
          </w:tcPr>
          <w:p w:rsidR="0028587D" w:rsidRPr="001F5300" w:rsidRDefault="0028587D" w:rsidP="002E3179">
            <w:pPr>
              <w:pStyle w:val="AralkYok"/>
              <w:spacing w:line="276" w:lineRule="auto"/>
              <w:rPr>
                <w:rFonts w:asciiTheme="majorHAnsi" w:hAnsiTheme="majorHAnsi"/>
                <w:sz w:val="20"/>
                <w:szCs w:val="20"/>
              </w:rPr>
            </w:pPr>
          </w:p>
        </w:tc>
        <w:tc>
          <w:tcPr>
            <w:tcW w:w="1622" w:type="dxa"/>
            <w:vAlign w:val="center"/>
          </w:tcPr>
          <w:p w:rsidR="0028587D" w:rsidRDefault="0028587D" w:rsidP="002E3179">
            <w:pPr>
              <w:pStyle w:val="AralkYok"/>
              <w:spacing w:line="276" w:lineRule="auto"/>
              <w:rPr>
                <w:rFonts w:asciiTheme="majorHAnsi" w:hAnsiTheme="majorHAnsi"/>
                <w:sz w:val="20"/>
                <w:szCs w:val="20"/>
              </w:rPr>
            </w:pPr>
          </w:p>
        </w:tc>
        <w:tc>
          <w:tcPr>
            <w:tcW w:w="1542" w:type="dxa"/>
            <w:vAlign w:val="center"/>
          </w:tcPr>
          <w:p w:rsidR="0028587D" w:rsidRPr="001F5300" w:rsidRDefault="0028587D" w:rsidP="002E3179">
            <w:pPr>
              <w:pStyle w:val="AralkYok"/>
              <w:spacing w:line="276" w:lineRule="auto"/>
              <w:rPr>
                <w:rFonts w:asciiTheme="majorHAnsi" w:hAnsiTheme="majorHAnsi"/>
                <w:sz w:val="20"/>
                <w:szCs w:val="20"/>
              </w:rPr>
            </w:pPr>
          </w:p>
        </w:tc>
        <w:tc>
          <w:tcPr>
            <w:tcW w:w="1514" w:type="dxa"/>
            <w:vAlign w:val="center"/>
          </w:tcPr>
          <w:p w:rsidR="0028587D" w:rsidRPr="001F5300" w:rsidRDefault="0028587D" w:rsidP="002E3179">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3E0" w:rsidRDefault="004C23E0">
      <w:r>
        <w:separator/>
      </w:r>
    </w:p>
  </w:endnote>
  <w:endnote w:type="continuationSeparator" w:id="0">
    <w:p w:rsidR="004C23E0" w:rsidRDefault="004C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3E0" w:rsidRDefault="004C23E0">
      <w:r>
        <w:separator/>
      </w:r>
    </w:p>
  </w:footnote>
  <w:footnote w:type="continuationSeparator" w:id="0">
    <w:p w:rsidR="004C23E0" w:rsidRDefault="004C2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14590">
    <w:abstractNumId w:val="4"/>
  </w:num>
  <w:num w:numId="2" w16cid:durableId="1267621240">
    <w:abstractNumId w:val="6"/>
  </w:num>
  <w:num w:numId="3" w16cid:durableId="1885750414">
    <w:abstractNumId w:val="1"/>
  </w:num>
  <w:num w:numId="4" w16cid:durableId="1367607652">
    <w:abstractNumId w:val="5"/>
  </w:num>
  <w:num w:numId="5" w16cid:durableId="1857503289">
    <w:abstractNumId w:val="2"/>
  </w:num>
  <w:num w:numId="6" w16cid:durableId="1779788308">
    <w:abstractNumId w:val="3"/>
  </w:num>
  <w:num w:numId="7" w16cid:durableId="546837418">
    <w:abstractNumId w:val="7"/>
  </w:num>
  <w:num w:numId="8" w16cid:durableId="22645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92724"/>
    <w:rsid w:val="000955B5"/>
    <w:rsid w:val="000A3AA0"/>
    <w:rsid w:val="000A6771"/>
    <w:rsid w:val="00126EDA"/>
    <w:rsid w:val="00194B7F"/>
    <w:rsid w:val="001B318F"/>
    <w:rsid w:val="001E4861"/>
    <w:rsid w:val="001F5300"/>
    <w:rsid w:val="00207393"/>
    <w:rsid w:val="00275474"/>
    <w:rsid w:val="0028587D"/>
    <w:rsid w:val="002A518F"/>
    <w:rsid w:val="002C7DC2"/>
    <w:rsid w:val="002D4439"/>
    <w:rsid w:val="002E3179"/>
    <w:rsid w:val="002F5A6F"/>
    <w:rsid w:val="00341DF1"/>
    <w:rsid w:val="00345C8A"/>
    <w:rsid w:val="0038056D"/>
    <w:rsid w:val="003A17B9"/>
    <w:rsid w:val="003F1F4D"/>
    <w:rsid w:val="00415F48"/>
    <w:rsid w:val="00436C99"/>
    <w:rsid w:val="00462B6E"/>
    <w:rsid w:val="0048303A"/>
    <w:rsid w:val="004C23E0"/>
    <w:rsid w:val="004D2C91"/>
    <w:rsid w:val="004F7C79"/>
    <w:rsid w:val="00504469"/>
    <w:rsid w:val="00546D65"/>
    <w:rsid w:val="00591BA9"/>
    <w:rsid w:val="005A0610"/>
    <w:rsid w:val="00600014"/>
    <w:rsid w:val="0062090D"/>
    <w:rsid w:val="00624C8B"/>
    <w:rsid w:val="0064649F"/>
    <w:rsid w:val="00652590"/>
    <w:rsid w:val="006C3210"/>
    <w:rsid w:val="00741429"/>
    <w:rsid w:val="00756991"/>
    <w:rsid w:val="00774ED1"/>
    <w:rsid w:val="00784D89"/>
    <w:rsid w:val="007B2C4C"/>
    <w:rsid w:val="007D3C81"/>
    <w:rsid w:val="00845169"/>
    <w:rsid w:val="00851E54"/>
    <w:rsid w:val="008C3BFF"/>
    <w:rsid w:val="009255C5"/>
    <w:rsid w:val="009D4D11"/>
    <w:rsid w:val="009E4FF3"/>
    <w:rsid w:val="00A07500"/>
    <w:rsid w:val="00A24729"/>
    <w:rsid w:val="00A4409C"/>
    <w:rsid w:val="00A526DA"/>
    <w:rsid w:val="00A74D8A"/>
    <w:rsid w:val="00B742C8"/>
    <w:rsid w:val="00BC7EE1"/>
    <w:rsid w:val="00BF61E7"/>
    <w:rsid w:val="00C363DB"/>
    <w:rsid w:val="00C53D3D"/>
    <w:rsid w:val="00C73D47"/>
    <w:rsid w:val="00D32A35"/>
    <w:rsid w:val="00D3794B"/>
    <w:rsid w:val="00DD4C8F"/>
    <w:rsid w:val="00E70FBC"/>
    <w:rsid w:val="00EC2556"/>
    <w:rsid w:val="00ED788B"/>
    <w:rsid w:val="00F0571B"/>
    <w:rsid w:val="00F505AE"/>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84E2"/>
  <w15:docId w15:val="{3C801D46-D366-6245-BBD9-356BD1F6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F5A6F"/>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1144</Words>
  <Characters>6521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15</cp:revision>
  <cp:lastPrinted>2024-03-07T10:38:00Z</cp:lastPrinted>
  <dcterms:created xsi:type="dcterms:W3CDTF">2026-02-19T06:35:00Z</dcterms:created>
  <dcterms:modified xsi:type="dcterms:W3CDTF">2026-03-04T08:30:00Z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