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62090D" w:rsidTr="007D3C81">
        <w:tc>
          <w:tcPr>
            <w:tcW w:w="3435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512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7D3C81">
        <w:tc>
          <w:tcPr>
            <w:tcW w:w="3435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E146D1" w:rsidP="00E146D1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3512" w:type="dxa"/>
          </w:tcPr>
          <w:p w:rsidR="0062090D" w:rsidRPr="0062090D" w:rsidRDefault="00602A58" w:rsidP="008E4582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08</w:t>
            </w:r>
            <w:r w:rsidR="008E4582">
              <w:rPr>
                <w:rFonts w:asciiTheme="majorHAnsi" w:hAnsiTheme="majorHAnsi"/>
                <w:sz w:val="20"/>
              </w:rPr>
              <w:t>.</w:t>
            </w:r>
            <w:r>
              <w:rPr>
                <w:rFonts w:asciiTheme="majorHAnsi" w:hAnsiTheme="majorHAnsi"/>
                <w:sz w:val="20"/>
              </w:rPr>
              <w:t>01</w:t>
            </w:r>
            <w:r w:rsidR="008E4582">
              <w:rPr>
                <w:rFonts w:asciiTheme="majorHAnsi" w:hAnsiTheme="majorHAnsi"/>
                <w:sz w:val="20"/>
              </w:rPr>
              <w:t>.202</w:t>
            </w: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:rsidR="0062090D" w:rsidRDefault="0062090D"/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</w:tblGrid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62090D" w:rsidRPr="0060546C" w:rsidRDefault="00695656" w:rsidP="00282E9D">
            <w:pPr>
              <w:pStyle w:val="NormalWeb"/>
              <w:spacing w:after="0" w:afterAutospacing="0"/>
              <w:rPr>
                <w:sz w:val="22"/>
                <w:szCs w:val="22"/>
              </w:rPr>
            </w:pPr>
            <w:r>
              <w:rPr>
                <w:rFonts w:ascii="Times New Roman,Bold" w:hAnsi="Times New Roman,Bold"/>
                <w:sz w:val="22"/>
                <w:szCs w:val="22"/>
              </w:rPr>
              <w:t xml:space="preserve">A.5. </w:t>
            </w:r>
            <w:r>
              <w:rPr>
                <w:sz w:val="22"/>
                <w:szCs w:val="22"/>
              </w:rPr>
              <w:t xml:space="preserve">Yönetiştim süreçlerinin paydaş̧ katılımıyla birlikte geliştirilmesi ve yaygınlaştırılması ile kalite yönetim sistemlerinin tüm birimlerde uygulanmasını sağlamak. </w:t>
            </w: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62090D" w:rsidRDefault="00ED4B4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A.3. Yönetim Sistemleri</w:t>
            </w:r>
          </w:p>
          <w:p w:rsidR="00ED4B44" w:rsidRDefault="00ED4B4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A.3.2. İnsan Kaynakları Yönetimi</w:t>
            </w:r>
          </w:p>
          <w:p w:rsidR="00634CF8" w:rsidRPr="00634CF8" w:rsidRDefault="00634CF8">
            <w:pPr>
              <w:rPr>
                <w:rFonts w:asciiTheme="majorHAnsi" w:hAnsiTheme="majorHAnsi"/>
                <w:sz w:val="20"/>
                <w:szCs w:val="20"/>
              </w:rPr>
            </w:pPr>
            <w:r w:rsidRPr="00634CF8">
              <w:rPr>
                <w:sz w:val="20"/>
                <w:szCs w:val="20"/>
              </w:rPr>
              <w:t>A.3.4. Süreç Yönetimi</w:t>
            </w:r>
          </w:p>
          <w:p w:rsidR="00ED4B44" w:rsidRDefault="00ED4B4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A.4. Paydaş Katılımı</w:t>
            </w:r>
          </w:p>
          <w:p w:rsidR="006B35F2" w:rsidRPr="0062090D" w:rsidRDefault="00ED4B44" w:rsidP="00282E9D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A.4.2. Öğrenci Geri Bildirimleri</w:t>
            </w: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62090D" w:rsidRPr="00634CF8" w:rsidRDefault="00ED4B44">
            <w:pPr>
              <w:rPr>
                <w:rStyle w:val="Gl"/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34CF8">
              <w:rPr>
                <w:rStyle w:val="Gl"/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SKA 4- Nitelikli Eğitim</w:t>
            </w:r>
          </w:p>
          <w:p w:rsidR="00634CF8" w:rsidRPr="00634CF8" w:rsidRDefault="00634CF8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34CF8">
              <w:rPr>
                <w:rFonts w:ascii="Cambria" w:hAnsi="Cambria"/>
                <w:color w:val="000000"/>
                <w:sz w:val="20"/>
                <w:szCs w:val="20"/>
              </w:rPr>
              <w:t>SKA 16 – Barış, Adalet ve Güçlü Kurumlar</w:t>
            </w:r>
          </w:p>
        </w:tc>
      </w:tr>
    </w:tbl>
    <w:p w:rsidR="0062090D" w:rsidRDefault="0062090D"/>
    <w:tbl>
      <w:tblPr>
        <w:tblStyle w:val="TabloKlavuzu"/>
        <w:tblW w:w="10064" w:type="dxa"/>
        <w:jc w:val="center"/>
        <w:tblLook w:val="04A0" w:firstRow="1" w:lastRow="0" w:firstColumn="1" w:lastColumn="0" w:noHBand="0" w:noVBand="1"/>
      </w:tblPr>
      <w:tblGrid>
        <w:gridCol w:w="2234"/>
        <w:gridCol w:w="7830"/>
      </w:tblGrid>
      <w:tr w:rsidR="007B2C4C" w:rsidRPr="001F5300" w:rsidTr="00695656">
        <w:trPr>
          <w:jc w:val="center"/>
        </w:trPr>
        <w:tc>
          <w:tcPr>
            <w:tcW w:w="10064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695656">
        <w:trPr>
          <w:jc w:val="center"/>
        </w:trPr>
        <w:tc>
          <w:tcPr>
            <w:tcW w:w="2234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830" w:type="dxa"/>
            <w:vAlign w:val="center"/>
          </w:tcPr>
          <w:p w:rsidR="0062090D" w:rsidRPr="007E1106" w:rsidRDefault="007E1106" w:rsidP="007E1106">
            <w:pPr>
              <w:pStyle w:val="Balk3"/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106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>Kurumsal Kalite Güvencesi ve Öğrenci Katılımı Süreçlerinin Değerlendirilmesi</w:t>
            </w:r>
          </w:p>
        </w:tc>
      </w:tr>
      <w:tr w:rsidR="001F5300" w:rsidRPr="001F5300" w:rsidTr="00695656">
        <w:trPr>
          <w:jc w:val="center"/>
        </w:trPr>
        <w:tc>
          <w:tcPr>
            <w:tcW w:w="2234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830" w:type="dxa"/>
            <w:vAlign w:val="center"/>
          </w:tcPr>
          <w:p w:rsidR="001F5300" w:rsidRPr="001F5300" w:rsidRDefault="008E4582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261FF7">
              <w:rPr>
                <w:rFonts w:asciiTheme="majorHAnsi" w:hAnsiTheme="majorHAnsi"/>
                <w:sz w:val="20"/>
                <w:szCs w:val="20"/>
              </w:rPr>
              <w:t>3.3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1F5300" w:rsidRPr="001F5300" w:rsidTr="00695656">
        <w:trPr>
          <w:jc w:val="center"/>
        </w:trPr>
        <w:tc>
          <w:tcPr>
            <w:tcW w:w="2234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830" w:type="dxa"/>
            <w:vAlign w:val="center"/>
          </w:tcPr>
          <w:p w:rsidR="001F5300" w:rsidRPr="001F5300" w:rsidRDefault="008E4582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Rektörlük Toplantı Salonu</w:t>
            </w:r>
          </w:p>
        </w:tc>
      </w:tr>
      <w:tr w:rsidR="001F5300" w:rsidRPr="001F5300" w:rsidTr="00695656">
        <w:trPr>
          <w:jc w:val="center"/>
        </w:trPr>
        <w:tc>
          <w:tcPr>
            <w:tcW w:w="2234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830" w:type="dxa"/>
            <w:vAlign w:val="center"/>
          </w:tcPr>
          <w:p w:rsidR="001F5300" w:rsidRPr="001F5300" w:rsidRDefault="008E4582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Kalite Yönetimi Koordinatörlüğü</w:t>
            </w: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244CB3" w:rsidRPr="00244CB3" w:rsidRDefault="00244CB3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244CB3">
        <w:rPr>
          <w:rFonts w:asciiTheme="majorHAnsi" w:hAnsiTheme="majorHAnsi"/>
          <w:color w:val="000000"/>
          <w:sz w:val="20"/>
          <w:szCs w:val="20"/>
        </w:rPr>
        <w:t>Kalite Bülteninin Hazırlanması ve Yayınlanmasına Yönelik Sürecin Görüşülmesi</w:t>
      </w:r>
    </w:p>
    <w:p w:rsidR="00450B01" w:rsidRPr="0012021D" w:rsidRDefault="00450B01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2021D">
        <w:rPr>
          <w:rFonts w:ascii="Cambria" w:hAnsi="Cambria" w:cs="Times New Roman"/>
          <w:sz w:val="20"/>
          <w:szCs w:val="20"/>
        </w:rPr>
        <w:t>2025 Yılı Kurum Kalite Güvencesi Sistemine Öğrenci Katılımı Faaliyetleri Formuna eklenebilecek faaliyetlerin ve bu faaliyetlere ilişkin kanıtların görüşülmesi</w:t>
      </w:r>
    </w:p>
    <w:p w:rsidR="00450B01" w:rsidRPr="0012021D" w:rsidRDefault="00450B01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2021D">
        <w:rPr>
          <w:rFonts w:ascii="Cambria" w:hAnsi="Cambria" w:cs="Times New Roman"/>
          <w:sz w:val="20"/>
          <w:szCs w:val="20"/>
        </w:rPr>
        <w:t>İç Tetkik Sürecinin Görüşülmesi</w:t>
      </w:r>
    </w:p>
    <w:p w:rsidR="00450B01" w:rsidRPr="0012021D" w:rsidRDefault="00450B01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2021D">
        <w:rPr>
          <w:rFonts w:ascii="Cambria" w:hAnsi="Cambria" w:cs="Times New Roman"/>
          <w:sz w:val="20"/>
          <w:szCs w:val="20"/>
        </w:rPr>
        <w:t xml:space="preserve">Stratejik Planın </w:t>
      </w:r>
      <w:r w:rsidR="0012021D" w:rsidRPr="0012021D">
        <w:rPr>
          <w:rFonts w:ascii="Cambria" w:hAnsi="Cambria" w:cs="Times New Roman"/>
          <w:sz w:val="20"/>
          <w:szCs w:val="20"/>
        </w:rPr>
        <w:t xml:space="preserve">Mevcut Durumunun </w:t>
      </w:r>
      <w:r w:rsidRPr="0012021D">
        <w:rPr>
          <w:rFonts w:ascii="Cambria" w:hAnsi="Cambria" w:cs="Times New Roman"/>
          <w:sz w:val="20"/>
          <w:szCs w:val="20"/>
        </w:rPr>
        <w:t>Görüşülmesi</w:t>
      </w:r>
    </w:p>
    <w:p w:rsidR="0012021D" w:rsidRPr="0012021D" w:rsidRDefault="0012021D" w:rsidP="0012021D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2021D">
        <w:rPr>
          <w:rFonts w:ascii="Cambria" w:hAnsi="Cambria"/>
          <w:color w:val="000000"/>
          <w:sz w:val="20"/>
          <w:szCs w:val="20"/>
        </w:rPr>
        <w:t>Öğrenci Kalite Komisyonunun Oluşturulması ve Görev Tanımlarının Belirlenmesi</w:t>
      </w:r>
    </w:p>
    <w:p w:rsidR="001F5300" w:rsidRPr="0012021D" w:rsidRDefault="0012021D" w:rsidP="0012021D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2021D">
        <w:rPr>
          <w:rFonts w:ascii="Cambria" w:hAnsi="Cambria"/>
          <w:color w:val="000000"/>
          <w:sz w:val="20"/>
          <w:szCs w:val="20"/>
        </w:rPr>
        <w:t>Kalite Yönetimi Sürecine İlişkin Son Dönem Faaliyetlerinin Genel Değerlendirilmesi</w:t>
      </w:r>
    </w:p>
    <w:p w:rsidR="0012021D" w:rsidRPr="0012021D" w:rsidRDefault="0012021D" w:rsidP="0012021D">
      <w:pPr>
        <w:pStyle w:val="ListeParagraf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rFonts w:ascii="Cambria" w:hAnsi="Cambria" w:cs="Times New Roman"/>
          <w:sz w:val="20"/>
          <w:szCs w:val="20"/>
        </w:rPr>
      </w:pPr>
    </w:p>
    <w:p w:rsidR="00851E54" w:rsidRPr="001F5300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7B2C4C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1: </w:t>
      </w:r>
    </w:p>
    <w:p w:rsidR="00B5493D" w:rsidRPr="00B5493D" w:rsidRDefault="00B5493D" w:rsidP="00C50492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5493D">
        <w:rPr>
          <w:rFonts w:asciiTheme="majorHAnsi" w:hAnsiTheme="majorHAnsi"/>
          <w:color w:val="000000"/>
          <w:sz w:val="20"/>
          <w:szCs w:val="20"/>
        </w:rPr>
        <w:t>Kalite süreçlerinin paydaşlarla paylaşılması ve kalite kültürünün yaygınlaştırılması amacıyla</w:t>
      </w:r>
      <w:r w:rsidRPr="00B5493D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B5493D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Kalite Bülteni hazırlanmasına ve periyodik olarak yayımlanmasına</w:t>
      </w:r>
      <w:r w:rsidRPr="00B5493D">
        <w:rPr>
          <w:rFonts w:asciiTheme="majorHAnsi" w:hAnsiTheme="majorHAnsi"/>
          <w:color w:val="000000"/>
          <w:sz w:val="20"/>
          <w:szCs w:val="20"/>
        </w:rPr>
        <w:t xml:space="preserve"> karar verilmiştir.</w:t>
      </w:r>
    </w:p>
    <w:p w:rsidR="00D32A35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 xml:space="preserve">Kararın Gerekçesi: </w:t>
      </w:r>
    </w:p>
    <w:p w:rsidR="00B5493D" w:rsidRPr="00B5493D" w:rsidRDefault="00B5493D" w:rsidP="00C50492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B5493D">
        <w:rPr>
          <w:rFonts w:asciiTheme="majorHAnsi" w:hAnsiTheme="majorHAnsi"/>
          <w:color w:val="000000"/>
          <w:sz w:val="20"/>
          <w:szCs w:val="20"/>
        </w:rPr>
        <w:t>Kurumsal kalite güvencesi çalışmalarının görünürlüğünün artırılması, kalite süreçlerine ilişkin faaliyetlerin paydaşlarla düzenli ve sistematik biçimde paylaşılması, kalite kültürünün kurumsal düzeyde yaygınlaştırılması ve iyi uygulama örneklerinin duyurulması amacıyla periyodik olarak yayımlanacak</w:t>
      </w:r>
      <w:r w:rsidR="00E146D1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B5493D">
        <w:rPr>
          <w:rFonts w:asciiTheme="majorHAnsi" w:hAnsiTheme="majorHAnsi"/>
          <w:color w:val="000000"/>
          <w:sz w:val="20"/>
          <w:szCs w:val="20"/>
        </w:rPr>
        <w:t>bir</w:t>
      </w:r>
      <w:r w:rsidRPr="00B5493D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B5493D">
        <w:rPr>
          <w:rStyle w:val="Gl"/>
          <w:rFonts w:asciiTheme="majorHAnsi" w:hAnsiTheme="majorHAnsi"/>
          <w:color w:val="000000"/>
          <w:sz w:val="20"/>
          <w:szCs w:val="20"/>
        </w:rPr>
        <w:t>Kalite Bülteni</w:t>
      </w:r>
      <w:r w:rsidRPr="00B5493D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B5493D">
        <w:rPr>
          <w:rFonts w:asciiTheme="majorHAnsi" w:hAnsiTheme="majorHAnsi"/>
          <w:color w:val="000000"/>
          <w:sz w:val="20"/>
          <w:szCs w:val="20"/>
        </w:rPr>
        <w:t>hazırlanmasına ihtiyaç duyulmuştur. Bu kapsamda, Kalite Bülteninin hazırlanma, içerik oluşturma, onay ve yayın süreçlerinin belirlenerek standart bir yapıya kavuşturulması önem arz etmektedir.</w:t>
      </w:r>
    </w:p>
    <w:p w:rsidR="00B77F7C" w:rsidRDefault="00B5493D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 xml:space="preserve">Kararın </w:t>
      </w:r>
      <w:r w:rsidR="00851E54" w:rsidRPr="00851E54">
        <w:rPr>
          <w:rFonts w:asciiTheme="majorHAnsi" w:hAnsiTheme="majorHAnsi" w:cs="Times New Roman"/>
          <w:sz w:val="20"/>
          <w:szCs w:val="20"/>
        </w:rPr>
        <w:t xml:space="preserve">İçeriği: </w:t>
      </w:r>
    </w:p>
    <w:p w:rsidR="00602A58" w:rsidRDefault="00602A58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</w:p>
    <w:p w:rsidR="00602A58" w:rsidRPr="00B5493D" w:rsidRDefault="00B5493D" w:rsidP="002F50E6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B5493D">
        <w:rPr>
          <w:rFonts w:asciiTheme="majorHAnsi" w:hAnsiTheme="majorHAnsi"/>
          <w:color w:val="000000"/>
          <w:sz w:val="20"/>
          <w:szCs w:val="20"/>
        </w:rPr>
        <w:t>Kurum bünyesinde yürütülen kalite güvencesi faaliyetlerinin, iyileştirme çalışmaları, komisyon/kurul faaliyetleri ve iyi uygulama örneklerinin paydaşlarla paylaşılması amacıyla</w:t>
      </w:r>
      <w:r w:rsidRPr="00B5493D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B5493D">
        <w:rPr>
          <w:rStyle w:val="Gl"/>
          <w:rFonts w:asciiTheme="majorHAnsi" w:hAnsiTheme="majorHAnsi"/>
          <w:color w:val="000000"/>
          <w:sz w:val="20"/>
          <w:szCs w:val="20"/>
        </w:rPr>
        <w:t>Kalite Bülteni hazırlanmasına ve yayımlanmasına</w:t>
      </w:r>
      <w:r w:rsidRPr="00B5493D">
        <w:rPr>
          <w:rFonts w:asciiTheme="majorHAnsi" w:hAnsiTheme="majorHAnsi"/>
          <w:color w:val="000000"/>
          <w:sz w:val="20"/>
          <w:szCs w:val="20"/>
        </w:rPr>
        <w:t>,</w:t>
      </w:r>
      <w:r w:rsidRPr="00B5493D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B5493D">
        <w:rPr>
          <w:rFonts w:asciiTheme="majorHAnsi" w:hAnsiTheme="majorHAnsi"/>
          <w:color w:val="000000"/>
          <w:sz w:val="20"/>
          <w:szCs w:val="20"/>
        </w:rPr>
        <w:t>bültenin içeriğinin eğitim-öğretim; Ar-Ge; toplumsal katkı ve kalite koordinatörlüklerinin aylık gerçekleştirdiği faaliyetleri özetleyecek şekilde olmasına karar verirmiştir.</w:t>
      </w:r>
    </w:p>
    <w:p w:rsidR="00282E9D" w:rsidRPr="00E146D1" w:rsidRDefault="00E146D1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E146D1">
        <w:rPr>
          <w:rFonts w:asciiTheme="majorHAnsi" w:hAnsiTheme="majorHAnsi" w:cs="Times New Roman"/>
          <w:b/>
          <w:bCs/>
          <w:sz w:val="20"/>
          <w:szCs w:val="20"/>
        </w:rPr>
        <w:t>Karar No 2:</w:t>
      </w:r>
    </w:p>
    <w:p w:rsidR="00E146D1" w:rsidRDefault="00E146D1" w:rsidP="00E146D1">
      <w:pPr>
        <w:widowControl/>
        <w:autoSpaceDE/>
        <w:autoSpaceDN/>
        <w:spacing w:after="200" w:line="276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</w:p>
    <w:p w:rsidR="00E146D1" w:rsidRPr="00E146D1" w:rsidRDefault="00E146D1" w:rsidP="002F50E6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Cambria" w:hAnsi="Cambria" w:cs="Times New Roman"/>
          <w:sz w:val="20"/>
          <w:szCs w:val="20"/>
        </w:rPr>
      </w:pPr>
      <w:r w:rsidRPr="00E146D1">
        <w:rPr>
          <w:rFonts w:ascii="Cambria" w:hAnsi="Cambria"/>
          <w:color w:val="000000"/>
          <w:sz w:val="20"/>
          <w:szCs w:val="20"/>
        </w:rPr>
        <w:t>Öğrenci Kalite Komisyonunun oluşturulması ve görev tanımlarının belirlenmesi</w:t>
      </w:r>
      <w:r>
        <w:rPr>
          <w:rFonts w:ascii="Cambria" w:hAnsi="Cambria"/>
          <w:color w:val="000000"/>
          <w:sz w:val="20"/>
          <w:szCs w:val="20"/>
        </w:rPr>
        <w:t>ne karar verilmiştir.</w:t>
      </w:r>
    </w:p>
    <w:p w:rsidR="00602A58" w:rsidRDefault="00602A58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</w:p>
    <w:p w:rsidR="00E146D1" w:rsidRDefault="00E146D1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Kararın Gerekçesi:</w:t>
      </w:r>
    </w:p>
    <w:p w:rsidR="00E146D1" w:rsidRPr="00E146D1" w:rsidRDefault="00E146D1" w:rsidP="002F50E6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E146D1">
        <w:rPr>
          <w:rFonts w:asciiTheme="majorHAnsi" w:hAnsiTheme="majorHAnsi"/>
          <w:color w:val="000000"/>
          <w:sz w:val="20"/>
          <w:szCs w:val="20"/>
        </w:rPr>
        <w:t>Kalite güvencesi süreçlerinde</w:t>
      </w:r>
      <w:r w:rsidRPr="00E146D1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E146D1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öğrenci katılımının sağlanması ve artırılması</w:t>
      </w:r>
      <w:r w:rsidRPr="00E146D1">
        <w:rPr>
          <w:rFonts w:asciiTheme="majorHAnsi" w:hAnsiTheme="majorHAnsi"/>
          <w:b/>
          <w:bCs/>
          <w:color w:val="000000"/>
          <w:sz w:val="20"/>
          <w:szCs w:val="20"/>
        </w:rPr>
        <w:t>,</w:t>
      </w:r>
      <w:r w:rsidRPr="00E146D1">
        <w:rPr>
          <w:rFonts w:asciiTheme="majorHAnsi" w:hAnsiTheme="majorHAnsi"/>
          <w:color w:val="000000"/>
          <w:sz w:val="20"/>
          <w:szCs w:val="20"/>
        </w:rPr>
        <w:t xml:space="preserve"> öğrenci görüş ve önerilerinin karar alma mekanizmalarına dâhil edilmesi ve kalite kültürünün yaygınlaştırılması amacıyla Öğrenci Kalite Komisyonunun oluşturulmasına ihtiyaç duyulmuştur.</w:t>
      </w:r>
    </w:p>
    <w:p w:rsidR="00E146D1" w:rsidRDefault="00E146D1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Kararın İçeriği:</w:t>
      </w:r>
    </w:p>
    <w:p w:rsidR="00E146D1" w:rsidRPr="00E146D1" w:rsidRDefault="00E146D1" w:rsidP="002F50E6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E146D1">
        <w:rPr>
          <w:rFonts w:asciiTheme="majorHAnsi" w:hAnsiTheme="majorHAnsi"/>
          <w:color w:val="000000"/>
          <w:sz w:val="20"/>
          <w:szCs w:val="20"/>
        </w:rPr>
        <w:t>Öğrenci Kalite Komisyonu oluşturularak, kalite güvencesi süreçlerinde öğrenci katılımının sağlanması ve artırılması amaçlanmıştır. Bu kapsamda komisyonun görev, yetki ve sorumlulukları belirlenmiş; öğrencilerin görüş, öneri ve geri bildirimlerinin kalite çalışmalarına düzenli olarak dâhil edilmesi hedeflenmiştir.</w:t>
      </w:r>
    </w:p>
    <w:p w:rsidR="00E146D1" w:rsidRPr="00E10DAD" w:rsidRDefault="00E146D1" w:rsidP="00B77F7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9952" w:type="dxa"/>
        <w:jc w:val="center"/>
        <w:tblLook w:val="04A0" w:firstRow="1" w:lastRow="0" w:firstColumn="1" w:lastColumn="0" w:noHBand="0" w:noVBand="1"/>
      </w:tblPr>
      <w:tblGrid>
        <w:gridCol w:w="2571"/>
        <w:gridCol w:w="968"/>
        <w:gridCol w:w="1559"/>
        <w:gridCol w:w="2013"/>
        <w:gridCol w:w="1361"/>
        <w:gridCol w:w="1480"/>
      </w:tblGrid>
      <w:tr w:rsidR="00261FF7" w:rsidRPr="001F5300" w:rsidTr="000659B6">
        <w:trPr>
          <w:jc w:val="center"/>
        </w:trPr>
        <w:tc>
          <w:tcPr>
            <w:tcW w:w="2571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ind w:left="720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968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59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013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361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480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261FF7" w:rsidRPr="001F5300" w:rsidTr="000659B6">
        <w:trPr>
          <w:trHeight w:val="878"/>
          <w:jc w:val="center"/>
        </w:trPr>
        <w:tc>
          <w:tcPr>
            <w:tcW w:w="2571" w:type="dxa"/>
            <w:vAlign w:val="center"/>
          </w:tcPr>
          <w:p w:rsidR="00261FF7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261FF7">
              <w:rPr>
                <w:rFonts w:asciiTheme="majorHAnsi" w:hAnsiTheme="majorHAnsi"/>
                <w:sz w:val="20"/>
                <w:szCs w:val="20"/>
              </w:rPr>
              <w:t>H. Mahir FİSUNOĞLU</w:t>
            </w:r>
          </w:p>
        </w:tc>
        <w:tc>
          <w:tcPr>
            <w:tcW w:w="968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Prof. Dr.</w:t>
            </w:r>
          </w:p>
        </w:tc>
        <w:tc>
          <w:tcPr>
            <w:tcW w:w="1559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261FF7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 Eda YAŞA ÖZELTÜRKAY</w:t>
            </w:r>
          </w:p>
        </w:tc>
        <w:tc>
          <w:tcPr>
            <w:tcW w:w="1361" w:type="dxa"/>
            <w:vAlign w:val="center"/>
          </w:tcPr>
          <w:p w:rsidR="00261FF7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Prof. Dr.</w:t>
            </w:r>
          </w:p>
        </w:tc>
        <w:tc>
          <w:tcPr>
            <w:tcW w:w="1480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61FF7" w:rsidRPr="001F5300" w:rsidTr="000659B6">
        <w:trPr>
          <w:trHeight w:val="930"/>
          <w:jc w:val="center"/>
        </w:trPr>
        <w:tc>
          <w:tcPr>
            <w:tcW w:w="2571" w:type="dxa"/>
            <w:vAlign w:val="center"/>
          </w:tcPr>
          <w:p w:rsidR="00261FF7" w:rsidRPr="00F37C3E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  <w:r w:rsidR="00261FF7">
              <w:rPr>
                <w:rFonts w:asciiTheme="majorHAnsi" w:hAnsiTheme="majorHAnsi"/>
                <w:sz w:val="20"/>
                <w:szCs w:val="20"/>
              </w:rPr>
              <w:t>Şenol KANDEMİR</w:t>
            </w:r>
          </w:p>
        </w:tc>
        <w:tc>
          <w:tcPr>
            <w:tcW w:w="968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Doç. Dr.</w:t>
            </w:r>
          </w:p>
        </w:tc>
        <w:tc>
          <w:tcPr>
            <w:tcW w:w="1559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261FF7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 Emre Kadir ÖZEKENCİ</w:t>
            </w:r>
          </w:p>
        </w:tc>
        <w:tc>
          <w:tcPr>
            <w:tcW w:w="1361" w:type="dxa"/>
            <w:vAlign w:val="center"/>
          </w:tcPr>
          <w:p w:rsidR="00261FF7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Doç. Dr.</w:t>
            </w:r>
          </w:p>
        </w:tc>
        <w:tc>
          <w:tcPr>
            <w:tcW w:w="1480" w:type="dxa"/>
            <w:vAlign w:val="center"/>
          </w:tcPr>
          <w:p w:rsidR="00261FF7" w:rsidRPr="001F5300" w:rsidRDefault="00261FF7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624B" w:rsidRPr="001F5300" w:rsidTr="000659B6">
        <w:trPr>
          <w:trHeight w:val="675"/>
          <w:jc w:val="center"/>
        </w:trPr>
        <w:tc>
          <w:tcPr>
            <w:tcW w:w="257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3.Gürcan DEMİROGLARI</w:t>
            </w:r>
          </w:p>
        </w:tc>
        <w:tc>
          <w:tcPr>
            <w:tcW w:w="968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59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11.Süreyya YILMAZ ÖZEKENCİ</w:t>
            </w:r>
          </w:p>
        </w:tc>
        <w:tc>
          <w:tcPr>
            <w:tcW w:w="136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480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624B" w:rsidRPr="001F5300" w:rsidTr="000659B6">
        <w:trPr>
          <w:trHeight w:val="697"/>
          <w:jc w:val="center"/>
        </w:trPr>
        <w:tc>
          <w:tcPr>
            <w:tcW w:w="257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4.Y. Anıl AY</w:t>
            </w:r>
          </w:p>
        </w:tc>
        <w:tc>
          <w:tcPr>
            <w:tcW w:w="968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59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1F5300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</w:rPr>
              <w:t>Pelin BATMAN</w:t>
            </w:r>
          </w:p>
        </w:tc>
        <w:tc>
          <w:tcPr>
            <w:tcW w:w="136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Arş. Gör.</w:t>
            </w:r>
          </w:p>
        </w:tc>
        <w:tc>
          <w:tcPr>
            <w:tcW w:w="1480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624B" w:rsidRPr="001F5300" w:rsidTr="000659B6">
        <w:trPr>
          <w:trHeight w:val="705"/>
          <w:jc w:val="center"/>
        </w:trPr>
        <w:tc>
          <w:tcPr>
            <w:tcW w:w="257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5.Yonca BİR</w:t>
            </w:r>
          </w:p>
        </w:tc>
        <w:tc>
          <w:tcPr>
            <w:tcW w:w="968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59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 Oğuzhan ÇAVUŞOĞLU</w:t>
            </w:r>
          </w:p>
        </w:tc>
        <w:tc>
          <w:tcPr>
            <w:tcW w:w="136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Öğr. Gör.</w:t>
            </w:r>
          </w:p>
        </w:tc>
        <w:tc>
          <w:tcPr>
            <w:tcW w:w="1480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624B" w:rsidRPr="001F5300" w:rsidTr="000659B6">
        <w:trPr>
          <w:trHeight w:val="727"/>
          <w:jc w:val="center"/>
        </w:trPr>
        <w:tc>
          <w:tcPr>
            <w:tcW w:w="257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6.Duygu GÜR</w:t>
            </w:r>
          </w:p>
        </w:tc>
        <w:tc>
          <w:tcPr>
            <w:tcW w:w="968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59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14. Tuğçe KANDİLCİ</w:t>
            </w:r>
          </w:p>
        </w:tc>
        <w:tc>
          <w:tcPr>
            <w:tcW w:w="136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Öğr. Gör.</w:t>
            </w:r>
          </w:p>
        </w:tc>
        <w:tc>
          <w:tcPr>
            <w:tcW w:w="1480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624B" w:rsidRPr="001F5300" w:rsidTr="000659B6">
        <w:trPr>
          <w:trHeight w:val="688"/>
          <w:jc w:val="center"/>
        </w:trPr>
        <w:tc>
          <w:tcPr>
            <w:tcW w:w="257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 Alper YILDIZ</w:t>
            </w:r>
          </w:p>
        </w:tc>
        <w:tc>
          <w:tcPr>
            <w:tcW w:w="968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Arş. Gör.</w:t>
            </w:r>
          </w:p>
        </w:tc>
        <w:tc>
          <w:tcPr>
            <w:tcW w:w="1559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6624B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15. Dr. Burcu DEMİROGLARI</w:t>
            </w:r>
          </w:p>
        </w:tc>
        <w:tc>
          <w:tcPr>
            <w:tcW w:w="136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KYK Uzmanı</w:t>
            </w:r>
          </w:p>
        </w:tc>
        <w:tc>
          <w:tcPr>
            <w:tcW w:w="1480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624B" w:rsidRPr="001F5300" w:rsidTr="000659B6">
        <w:trPr>
          <w:trHeight w:val="688"/>
          <w:jc w:val="center"/>
        </w:trPr>
        <w:tc>
          <w:tcPr>
            <w:tcW w:w="257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8. </w:t>
            </w:r>
            <w:r w:rsidRPr="001F53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Seyfettin ÖZDEMİREL</w:t>
            </w:r>
          </w:p>
        </w:tc>
        <w:tc>
          <w:tcPr>
            <w:tcW w:w="968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59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16624B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16624B" w:rsidRPr="001F5300" w:rsidRDefault="0016624B" w:rsidP="000659B6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İzinliler/Görevliler: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p w:rsidR="001B318F" w:rsidRPr="001F5300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sectPr w:rsidR="001B318F" w:rsidRPr="001F5300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E21" w:rsidRDefault="00681E21">
      <w:r>
        <w:separator/>
      </w:r>
    </w:p>
  </w:endnote>
  <w:endnote w:type="continuationSeparator" w:id="0">
    <w:p w:rsidR="00681E21" w:rsidRDefault="0068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E21" w:rsidRDefault="00681E21">
      <w:r>
        <w:separator/>
      </w:r>
    </w:p>
  </w:footnote>
  <w:footnote w:type="continuationSeparator" w:id="0">
    <w:p w:rsidR="00681E21" w:rsidRDefault="0068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E6D"/>
    <w:multiLevelType w:val="hybridMultilevel"/>
    <w:tmpl w:val="34C26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 w15:restartNumberingAfterBreak="0">
    <w:nsid w:val="41423D1B"/>
    <w:multiLevelType w:val="hybridMultilevel"/>
    <w:tmpl w:val="B2724F6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0C27"/>
    <w:multiLevelType w:val="hybridMultilevel"/>
    <w:tmpl w:val="C8E44B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692842">
    <w:abstractNumId w:val="4"/>
  </w:num>
  <w:num w:numId="2" w16cid:durableId="1940676043">
    <w:abstractNumId w:val="7"/>
  </w:num>
  <w:num w:numId="3" w16cid:durableId="1686318854">
    <w:abstractNumId w:val="1"/>
  </w:num>
  <w:num w:numId="4" w16cid:durableId="1049187570">
    <w:abstractNumId w:val="6"/>
  </w:num>
  <w:num w:numId="5" w16cid:durableId="981234561">
    <w:abstractNumId w:val="2"/>
  </w:num>
  <w:num w:numId="6" w16cid:durableId="230579051">
    <w:abstractNumId w:val="3"/>
  </w:num>
  <w:num w:numId="7" w16cid:durableId="131212080">
    <w:abstractNumId w:val="8"/>
  </w:num>
  <w:num w:numId="8" w16cid:durableId="226458796">
    <w:abstractNumId w:val="0"/>
  </w:num>
  <w:num w:numId="9" w16cid:durableId="2113235103">
    <w:abstractNumId w:val="9"/>
  </w:num>
  <w:num w:numId="10" w16cid:durableId="169727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659B6"/>
    <w:rsid w:val="00092724"/>
    <w:rsid w:val="000A3AA0"/>
    <w:rsid w:val="000A6771"/>
    <w:rsid w:val="000A766B"/>
    <w:rsid w:val="0012021D"/>
    <w:rsid w:val="00126EDA"/>
    <w:rsid w:val="0016624B"/>
    <w:rsid w:val="001B318F"/>
    <w:rsid w:val="001E4861"/>
    <w:rsid w:val="001F5300"/>
    <w:rsid w:val="00244CB3"/>
    <w:rsid w:val="00261FF7"/>
    <w:rsid w:val="00275474"/>
    <w:rsid w:val="00282E9D"/>
    <w:rsid w:val="002A518F"/>
    <w:rsid w:val="002B0994"/>
    <w:rsid w:val="002C7DC2"/>
    <w:rsid w:val="002F50E6"/>
    <w:rsid w:val="00302ED1"/>
    <w:rsid w:val="00345C8A"/>
    <w:rsid w:val="003A17B9"/>
    <w:rsid w:val="003B5374"/>
    <w:rsid w:val="003D038B"/>
    <w:rsid w:val="003F1F4D"/>
    <w:rsid w:val="00415F48"/>
    <w:rsid w:val="00423C03"/>
    <w:rsid w:val="00436C99"/>
    <w:rsid w:val="00450B01"/>
    <w:rsid w:val="00462B6E"/>
    <w:rsid w:val="004D2C91"/>
    <w:rsid w:val="00504469"/>
    <w:rsid w:val="00591BA9"/>
    <w:rsid w:val="005A0610"/>
    <w:rsid w:val="00602A58"/>
    <w:rsid w:val="0060546C"/>
    <w:rsid w:val="0062090D"/>
    <w:rsid w:val="00624C8B"/>
    <w:rsid w:val="00634CF8"/>
    <w:rsid w:val="0064649F"/>
    <w:rsid w:val="00652590"/>
    <w:rsid w:val="00681E21"/>
    <w:rsid w:val="00695656"/>
    <w:rsid w:val="006B35F2"/>
    <w:rsid w:val="006C3210"/>
    <w:rsid w:val="00741429"/>
    <w:rsid w:val="00774ED1"/>
    <w:rsid w:val="00784D89"/>
    <w:rsid w:val="007B2C4C"/>
    <w:rsid w:val="007D3C81"/>
    <w:rsid w:val="007E1106"/>
    <w:rsid w:val="00845169"/>
    <w:rsid w:val="00851E54"/>
    <w:rsid w:val="008B4B22"/>
    <w:rsid w:val="008B7868"/>
    <w:rsid w:val="008E4582"/>
    <w:rsid w:val="009255C5"/>
    <w:rsid w:val="009B1F7F"/>
    <w:rsid w:val="009E4FF3"/>
    <w:rsid w:val="00A07500"/>
    <w:rsid w:val="00A24729"/>
    <w:rsid w:val="00A526DA"/>
    <w:rsid w:val="00A74D8A"/>
    <w:rsid w:val="00B03151"/>
    <w:rsid w:val="00B5493D"/>
    <w:rsid w:val="00B742C8"/>
    <w:rsid w:val="00B77F7C"/>
    <w:rsid w:val="00BC3430"/>
    <w:rsid w:val="00BC7EE1"/>
    <w:rsid w:val="00C363DB"/>
    <w:rsid w:val="00C50492"/>
    <w:rsid w:val="00D32A35"/>
    <w:rsid w:val="00D3794B"/>
    <w:rsid w:val="00E05D2C"/>
    <w:rsid w:val="00E10DAD"/>
    <w:rsid w:val="00E146D1"/>
    <w:rsid w:val="00E70FBC"/>
    <w:rsid w:val="00EC2556"/>
    <w:rsid w:val="00ED4B44"/>
    <w:rsid w:val="00ED788B"/>
    <w:rsid w:val="00EF461C"/>
    <w:rsid w:val="00F0571B"/>
    <w:rsid w:val="00F40F4E"/>
    <w:rsid w:val="00F505AE"/>
    <w:rsid w:val="00F840E0"/>
    <w:rsid w:val="00F84B65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9553066-C461-194B-9FAC-6B3D11F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E1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8E45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E4582"/>
  </w:style>
  <w:style w:type="character" w:styleId="Gl">
    <w:name w:val="Strong"/>
    <w:basedOn w:val="VarsaylanParagrafYazTipi"/>
    <w:uiPriority w:val="22"/>
    <w:qFormat/>
    <w:rsid w:val="00ED4B44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E11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457</Words>
  <Characters>3358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17</cp:revision>
  <cp:lastPrinted>2024-03-07T10:38:00Z</cp:lastPrinted>
  <dcterms:created xsi:type="dcterms:W3CDTF">2026-01-07T07:00:00Z</dcterms:created>
  <dcterms:modified xsi:type="dcterms:W3CDTF">2026-02-10T06:34:00Z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