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352086" w:rsidP="00E94E2F">
            <w:pPr>
              <w:jc w:val="center"/>
              <w:rPr>
                <w:rFonts w:asciiTheme="majorHAnsi" w:hAnsiTheme="majorHAnsi"/>
                <w:sz w:val="20"/>
                <w:szCs w:val="20"/>
              </w:rPr>
            </w:pPr>
            <w:r>
              <w:rPr>
                <w:rFonts w:asciiTheme="majorHAnsi" w:hAnsiTheme="majorHAnsi"/>
                <w:sz w:val="20"/>
                <w:szCs w:val="20"/>
              </w:rPr>
              <w:t>1</w:t>
            </w:r>
            <w:r w:rsidR="003427C5">
              <w:rPr>
                <w:rFonts w:asciiTheme="majorHAnsi" w:hAnsiTheme="majorHAnsi"/>
                <w:sz w:val="20"/>
                <w:szCs w:val="20"/>
              </w:rPr>
              <w:t>1</w:t>
            </w:r>
          </w:p>
        </w:tc>
        <w:tc>
          <w:tcPr>
            <w:tcW w:w="3399" w:type="dxa"/>
          </w:tcPr>
          <w:p w:rsidR="0062090D" w:rsidRPr="00E97063" w:rsidRDefault="00ED5AAC" w:rsidP="00291884">
            <w:pPr>
              <w:jc w:val="center"/>
              <w:rPr>
                <w:rFonts w:asciiTheme="majorHAnsi" w:hAnsiTheme="majorHAnsi"/>
                <w:sz w:val="20"/>
                <w:szCs w:val="20"/>
              </w:rPr>
            </w:pPr>
            <w:r w:rsidRPr="00A0413E">
              <w:rPr>
                <w:rFonts w:asciiTheme="majorHAnsi" w:hAnsiTheme="majorHAnsi"/>
                <w:color w:val="000000" w:themeColor="text1"/>
                <w:sz w:val="20"/>
                <w:szCs w:val="20"/>
              </w:rPr>
              <w:t>0</w:t>
            </w:r>
            <w:r w:rsidR="007C4390">
              <w:rPr>
                <w:rFonts w:asciiTheme="majorHAnsi" w:hAnsiTheme="majorHAnsi"/>
                <w:color w:val="000000" w:themeColor="text1"/>
                <w:sz w:val="20"/>
                <w:szCs w:val="20"/>
              </w:rPr>
              <w:t>6</w:t>
            </w:r>
            <w:r w:rsidRPr="00A0413E">
              <w:rPr>
                <w:rFonts w:asciiTheme="majorHAnsi" w:hAnsiTheme="majorHAnsi"/>
                <w:color w:val="000000" w:themeColor="text1"/>
                <w:sz w:val="20"/>
                <w:szCs w:val="20"/>
              </w:rPr>
              <w:t>.</w:t>
            </w:r>
            <w:r w:rsidR="00737DEA">
              <w:rPr>
                <w:rFonts w:asciiTheme="majorHAnsi" w:hAnsiTheme="majorHAnsi"/>
                <w:color w:val="000000" w:themeColor="text1"/>
                <w:sz w:val="20"/>
                <w:szCs w:val="20"/>
              </w:rPr>
              <w:t>0</w:t>
            </w:r>
            <w:r w:rsidR="007C4390">
              <w:rPr>
                <w:rFonts w:asciiTheme="majorHAnsi" w:hAnsiTheme="majorHAnsi"/>
                <w:color w:val="000000" w:themeColor="text1"/>
                <w:sz w:val="20"/>
                <w:szCs w:val="20"/>
              </w:rPr>
              <w:t>4</w:t>
            </w:r>
            <w:r w:rsidRPr="00A0413E">
              <w:rPr>
                <w:rFonts w:asciiTheme="majorHAnsi" w:hAnsiTheme="majorHAnsi"/>
                <w:color w:val="000000" w:themeColor="text1"/>
                <w:sz w:val="20"/>
                <w:szCs w:val="20"/>
              </w:rPr>
              <w:t>.202</w:t>
            </w:r>
            <w:r w:rsidR="00737DEA">
              <w:rPr>
                <w:rFonts w:asciiTheme="majorHAnsi" w:hAnsiTheme="majorHAnsi"/>
                <w:color w:val="000000" w:themeColor="text1"/>
                <w:sz w:val="20"/>
                <w:szCs w:val="20"/>
              </w:rPr>
              <w:t>6</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280B6D" w:rsidRDefault="00ED5AAC" w:rsidP="00291884">
            <w:pPr>
              <w:rPr>
                <w:rFonts w:asciiTheme="majorHAnsi" w:hAnsiTheme="majorHAnsi"/>
                <w:sz w:val="20"/>
                <w:szCs w:val="20"/>
              </w:rPr>
            </w:pPr>
            <w:r w:rsidRPr="00E97063">
              <w:rPr>
                <w:rFonts w:asciiTheme="majorHAnsi" w:hAnsiTheme="majorHAnsi"/>
                <w:sz w:val="20"/>
                <w:szCs w:val="20"/>
              </w:rPr>
              <w:t>Karar 1: A.5., H.5.</w:t>
            </w:r>
            <w:r w:rsidR="00394B18">
              <w:rPr>
                <w:rFonts w:asciiTheme="majorHAnsi" w:hAnsiTheme="majorHAnsi"/>
                <w:sz w:val="20"/>
                <w:szCs w:val="20"/>
              </w:rPr>
              <w:t>4</w:t>
            </w:r>
            <w:r w:rsidR="0068657F">
              <w:rPr>
                <w:rFonts w:asciiTheme="majorHAnsi" w:hAnsiTheme="majorHAnsi"/>
                <w:sz w:val="20"/>
                <w:szCs w:val="20"/>
              </w:rPr>
              <w:t>.</w:t>
            </w:r>
          </w:p>
          <w:p w:rsidR="00ED5AAC"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D607C8">
              <w:rPr>
                <w:rFonts w:asciiTheme="majorHAnsi" w:hAnsiTheme="majorHAnsi"/>
                <w:sz w:val="20"/>
                <w:szCs w:val="20"/>
              </w:rPr>
              <w:t>2</w:t>
            </w:r>
            <w:r w:rsidRPr="00E97063">
              <w:rPr>
                <w:rFonts w:asciiTheme="majorHAnsi" w:hAnsiTheme="majorHAnsi"/>
                <w:sz w:val="20"/>
                <w:szCs w:val="20"/>
              </w:rPr>
              <w:t xml:space="preserve">: </w:t>
            </w:r>
            <w:r w:rsidR="00D24AF3" w:rsidRPr="00E97063">
              <w:rPr>
                <w:rFonts w:asciiTheme="majorHAnsi" w:hAnsiTheme="majorHAnsi"/>
                <w:sz w:val="20"/>
                <w:szCs w:val="20"/>
              </w:rPr>
              <w:t>A.5., H.5.</w:t>
            </w:r>
            <w:r w:rsidR="00394B18">
              <w:rPr>
                <w:rFonts w:asciiTheme="majorHAnsi" w:hAnsiTheme="majorHAnsi"/>
                <w:sz w:val="20"/>
                <w:szCs w:val="20"/>
              </w:rPr>
              <w:t>4</w:t>
            </w:r>
            <w:r w:rsidR="00D24AF3" w:rsidRPr="00E97063">
              <w:rPr>
                <w:rFonts w:asciiTheme="majorHAnsi" w:hAnsiTheme="majorHAnsi"/>
                <w:sz w:val="20"/>
                <w:szCs w:val="20"/>
              </w:rPr>
              <w:t>.</w:t>
            </w:r>
          </w:p>
          <w:p w:rsidR="00F80036"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3</w:t>
            </w:r>
            <w:r w:rsidRPr="00E97063">
              <w:rPr>
                <w:rFonts w:asciiTheme="majorHAnsi" w:hAnsiTheme="majorHAnsi"/>
                <w:sz w:val="20"/>
                <w:szCs w:val="20"/>
              </w:rPr>
              <w:t xml:space="preserve">: </w:t>
            </w:r>
            <w:r w:rsidR="00F80036" w:rsidRPr="00E97063">
              <w:rPr>
                <w:rFonts w:asciiTheme="majorHAnsi" w:hAnsiTheme="majorHAnsi"/>
                <w:sz w:val="20"/>
                <w:szCs w:val="20"/>
              </w:rPr>
              <w:t>A.5.</w:t>
            </w:r>
          </w:p>
          <w:p w:rsidR="003A7E54" w:rsidRDefault="00E16594" w:rsidP="003A7E5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4</w:t>
            </w:r>
            <w:r w:rsidRPr="00E97063">
              <w:rPr>
                <w:rFonts w:asciiTheme="majorHAnsi" w:hAnsiTheme="majorHAnsi"/>
                <w:sz w:val="20"/>
                <w:szCs w:val="20"/>
              </w:rPr>
              <w:t>: A.</w:t>
            </w:r>
            <w:r w:rsidR="00421E5E">
              <w:rPr>
                <w:rFonts w:asciiTheme="majorHAnsi" w:hAnsiTheme="majorHAnsi"/>
                <w:sz w:val="20"/>
                <w:szCs w:val="20"/>
              </w:rPr>
              <w:t>1</w:t>
            </w:r>
            <w:r w:rsidRPr="00E97063">
              <w:rPr>
                <w:rFonts w:asciiTheme="majorHAnsi" w:hAnsiTheme="majorHAnsi"/>
                <w:sz w:val="20"/>
                <w:szCs w:val="20"/>
              </w:rPr>
              <w:t>.</w:t>
            </w:r>
            <w:r w:rsidR="00421E5E">
              <w:rPr>
                <w:rFonts w:asciiTheme="majorHAnsi" w:hAnsiTheme="majorHAnsi"/>
                <w:sz w:val="20"/>
                <w:szCs w:val="20"/>
              </w:rPr>
              <w:t xml:space="preserve">, </w:t>
            </w:r>
            <w:r w:rsidR="003B0E0B">
              <w:rPr>
                <w:rFonts w:asciiTheme="majorHAnsi" w:hAnsiTheme="majorHAnsi"/>
                <w:sz w:val="20"/>
                <w:szCs w:val="20"/>
              </w:rPr>
              <w:t xml:space="preserve">A.2., A.3., A.4., </w:t>
            </w:r>
            <w:r w:rsidR="00421E5E">
              <w:rPr>
                <w:rFonts w:asciiTheme="majorHAnsi" w:hAnsiTheme="majorHAnsi"/>
                <w:sz w:val="20"/>
                <w:szCs w:val="20"/>
              </w:rPr>
              <w:t xml:space="preserve">A.5., </w:t>
            </w:r>
          </w:p>
          <w:p w:rsidR="003A7E54" w:rsidRDefault="003A7E54" w:rsidP="003A7E54">
            <w:pPr>
              <w:rPr>
                <w:rFonts w:asciiTheme="majorHAnsi" w:hAnsiTheme="majorHAnsi"/>
                <w:sz w:val="20"/>
                <w:szCs w:val="20"/>
              </w:rPr>
            </w:pPr>
            <w:r>
              <w:rPr>
                <w:rFonts w:asciiTheme="majorHAnsi" w:hAnsiTheme="majorHAnsi"/>
                <w:sz w:val="20"/>
                <w:szCs w:val="20"/>
              </w:rPr>
              <w:t xml:space="preserve">Karar </w:t>
            </w:r>
            <w:r w:rsidR="00960332">
              <w:rPr>
                <w:rFonts w:asciiTheme="majorHAnsi" w:hAnsiTheme="majorHAnsi"/>
                <w:sz w:val="20"/>
                <w:szCs w:val="20"/>
              </w:rPr>
              <w:t>5</w:t>
            </w:r>
            <w:r>
              <w:rPr>
                <w:rFonts w:asciiTheme="majorHAnsi" w:hAnsiTheme="majorHAnsi"/>
                <w:sz w:val="20"/>
                <w:szCs w:val="20"/>
              </w:rPr>
              <w:t>:</w:t>
            </w:r>
            <w:r w:rsidR="0025205A" w:rsidRPr="00E97063">
              <w:rPr>
                <w:rFonts w:asciiTheme="majorHAnsi" w:hAnsiTheme="majorHAnsi"/>
                <w:sz w:val="20"/>
                <w:szCs w:val="20"/>
              </w:rPr>
              <w:t xml:space="preserve"> A.5., H.5.</w:t>
            </w:r>
            <w:r w:rsidR="0025205A">
              <w:rPr>
                <w:rFonts w:asciiTheme="majorHAnsi" w:hAnsiTheme="majorHAnsi"/>
                <w:sz w:val="20"/>
                <w:szCs w:val="20"/>
              </w:rPr>
              <w:t>2</w:t>
            </w:r>
            <w:r w:rsidR="0025205A" w:rsidRPr="00E97063">
              <w:rPr>
                <w:rFonts w:asciiTheme="majorHAnsi" w:hAnsiTheme="majorHAnsi"/>
                <w:sz w:val="20"/>
                <w:szCs w:val="20"/>
              </w:rPr>
              <w:t>.</w:t>
            </w:r>
            <w:r w:rsidR="0025205A">
              <w:rPr>
                <w:rFonts w:asciiTheme="majorHAnsi" w:hAnsiTheme="majorHAnsi"/>
                <w:sz w:val="20"/>
                <w:szCs w:val="20"/>
              </w:rPr>
              <w:t xml:space="preserve">, </w:t>
            </w:r>
            <w:r w:rsidR="0025205A" w:rsidRPr="00E97063">
              <w:rPr>
                <w:rFonts w:asciiTheme="majorHAnsi" w:hAnsiTheme="majorHAnsi"/>
                <w:sz w:val="20"/>
                <w:szCs w:val="20"/>
              </w:rPr>
              <w:t>H.5.</w:t>
            </w:r>
            <w:r w:rsidR="0025205A">
              <w:rPr>
                <w:rFonts w:asciiTheme="majorHAnsi" w:hAnsiTheme="majorHAnsi"/>
                <w:sz w:val="20"/>
                <w:szCs w:val="20"/>
              </w:rPr>
              <w:t>4</w:t>
            </w:r>
            <w:r w:rsidR="0025205A" w:rsidRPr="00E97063">
              <w:rPr>
                <w:rFonts w:asciiTheme="majorHAnsi" w:hAnsiTheme="majorHAnsi"/>
                <w:sz w:val="20"/>
                <w:szCs w:val="20"/>
              </w:rPr>
              <w:t>.</w:t>
            </w:r>
          </w:p>
          <w:p w:rsidR="00905072" w:rsidRDefault="00905072" w:rsidP="003A7E54">
            <w:pPr>
              <w:rPr>
                <w:rFonts w:asciiTheme="majorHAnsi" w:hAnsiTheme="majorHAnsi"/>
                <w:sz w:val="20"/>
                <w:szCs w:val="20"/>
              </w:rPr>
            </w:pPr>
            <w:r>
              <w:rPr>
                <w:rFonts w:asciiTheme="majorHAnsi" w:hAnsiTheme="majorHAnsi"/>
                <w:sz w:val="20"/>
                <w:szCs w:val="20"/>
              </w:rPr>
              <w:t>Karar 6:</w:t>
            </w:r>
            <w:r w:rsidR="00A519E5" w:rsidRPr="00E97063">
              <w:rPr>
                <w:rFonts w:asciiTheme="majorHAnsi" w:hAnsiTheme="majorHAnsi"/>
                <w:sz w:val="20"/>
                <w:szCs w:val="20"/>
              </w:rPr>
              <w:t xml:space="preserve"> </w:t>
            </w:r>
            <w:r w:rsidR="009B19CC" w:rsidRPr="00E8530C">
              <w:rPr>
                <w:rFonts w:asciiTheme="majorHAnsi" w:hAnsiTheme="majorHAnsi"/>
                <w:color w:val="000000" w:themeColor="text1"/>
                <w:sz w:val="20"/>
                <w:szCs w:val="20"/>
              </w:rPr>
              <w:t>A.4.</w:t>
            </w:r>
            <w:r w:rsidR="009B19CC">
              <w:rPr>
                <w:rFonts w:asciiTheme="majorHAnsi" w:hAnsiTheme="majorHAnsi"/>
                <w:color w:val="000000" w:themeColor="text1"/>
                <w:sz w:val="20"/>
                <w:szCs w:val="20"/>
              </w:rPr>
              <w:t xml:space="preserve">, </w:t>
            </w:r>
            <w:r w:rsidR="009B19CC" w:rsidRPr="00E8530C">
              <w:rPr>
                <w:rFonts w:asciiTheme="majorHAnsi" w:hAnsiTheme="majorHAnsi"/>
                <w:sz w:val="20"/>
                <w:szCs w:val="20"/>
              </w:rPr>
              <w:t>A.5.</w:t>
            </w:r>
            <w:r w:rsidR="009B19CC">
              <w:rPr>
                <w:rFonts w:asciiTheme="majorHAnsi" w:hAnsiTheme="majorHAnsi"/>
                <w:sz w:val="20"/>
                <w:szCs w:val="20"/>
              </w:rPr>
              <w:t xml:space="preserve">, </w:t>
            </w:r>
            <w:r w:rsidR="009B19CC" w:rsidRPr="00E8530C">
              <w:rPr>
                <w:rFonts w:asciiTheme="majorHAnsi" w:hAnsiTheme="majorHAnsi"/>
                <w:sz w:val="20"/>
                <w:szCs w:val="20"/>
              </w:rPr>
              <w:t>H.5.2.</w:t>
            </w:r>
          </w:p>
          <w:p w:rsidR="00420266" w:rsidRPr="003B0E0B" w:rsidRDefault="00420266" w:rsidP="003B0E0B">
            <w:pPr>
              <w:widowControl w:val="0"/>
              <w:autoSpaceDE w:val="0"/>
              <w:autoSpaceDN w:val="0"/>
            </w:pPr>
            <w:r>
              <w:rPr>
                <w:rFonts w:asciiTheme="majorHAnsi" w:hAnsiTheme="majorHAnsi"/>
                <w:sz w:val="20"/>
                <w:szCs w:val="20"/>
              </w:rPr>
              <w:t xml:space="preserve">Karar 8: </w:t>
            </w:r>
            <w:r w:rsidR="003B0E0B" w:rsidRPr="00E8530C">
              <w:rPr>
                <w:rFonts w:asciiTheme="majorHAnsi" w:hAnsiTheme="majorHAnsi"/>
                <w:color w:val="000000" w:themeColor="text1"/>
                <w:sz w:val="20"/>
                <w:szCs w:val="20"/>
              </w:rPr>
              <w:t>A.4.</w:t>
            </w:r>
            <w:r w:rsidR="003B0E0B">
              <w:rPr>
                <w:rFonts w:asciiTheme="majorHAnsi" w:hAnsiTheme="majorHAnsi"/>
                <w:color w:val="000000" w:themeColor="text1"/>
                <w:sz w:val="20"/>
                <w:szCs w:val="20"/>
              </w:rPr>
              <w:t xml:space="preserve">, </w:t>
            </w:r>
            <w:r w:rsidR="003B0E0B" w:rsidRPr="00E8530C">
              <w:rPr>
                <w:rFonts w:asciiTheme="majorHAnsi" w:hAnsiTheme="majorHAnsi"/>
                <w:sz w:val="20"/>
                <w:szCs w:val="20"/>
              </w:rPr>
              <w:t>A.5.</w:t>
            </w:r>
            <w:r w:rsidR="003B0E0B">
              <w:rPr>
                <w:rFonts w:asciiTheme="majorHAnsi" w:hAnsiTheme="majorHAnsi"/>
                <w:sz w:val="20"/>
                <w:szCs w:val="20"/>
              </w:rPr>
              <w:t xml:space="preserve">, </w:t>
            </w:r>
            <w:r w:rsidR="003B0E0B" w:rsidRPr="00E8530C">
              <w:rPr>
                <w:rFonts w:asciiTheme="majorHAnsi" w:hAnsiTheme="majorHAnsi"/>
                <w:sz w:val="20"/>
                <w:szCs w:val="20"/>
              </w:rPr>
              <w:t xml:space="preserve">H.5.2. </w:t>
            </w:r>
          </w:p>
          <w:p w:rsidR="001D3D69" w:rsidRDefault="001D3D69" w:rsidP="003A7E54">
            <w:pPr>
              <w:rPr>
                <w:rFonts w:asciiTheme="majorHAnsi" w:hAnsiTheme="majorHAnsi"/>
                <w:sz w:val="20"/>
                <w:szCs w:val="20"/>
              </w:rPr>
            </w:pPr>
            <w:r>
              <w:rPr>
                <w:rFonts w:asciiTheme="majorHAnsi" w:hAnsiTheme="majorHAnsi"/>
                <w:sz w:val="20"/>
                <w:szCs w:val="20"/>
              </w:rPr>
              <w:t>Karar 9: A.5., H.5.4</w:t>
            </w:r>
          </w:p>
          <w:p w:rsidR="001D3D69" w:rsidRDefault="001D3D69" w:rsidP="003A7E54">
            <w:pPr>
              <w:rPr>
                <w:rFonts w:asciiTheme="majorHAnsi" w:hAnsiTheme="majorHAnsi"/>
                <w:sz w:val="20"/>
                <w:szCs w:val="20"/>
              </w:rPr>
            </w:pPr>
            <w:r>
              <w:rPr>
                <w:rFonts w:asciiTheme="majorHAnsi" w:hAnsiTheme="majorHAnsi"/>
                <w:sz w:val="20"/>
                <w:szCs w:val="20"/>
              </w:rPr>
              <w:t>Karar 10: A.5., H.5.4</w:t>
            </w:r>
          </w:p>
          <w:p w:rsidR="001D3D69" w:rsidRDefault="001D3D69" w:rsidP="003A7E54">
            <w:pPr>
              <w:rPr>
                <w:rFonts w:asciiTheme="majorHAnsi" w:hAnsiTheme="majorHAnsi"/>
                <w:sz w:val="20"/>
                <w:szCs w:val="20"/>
              </w:rPr>
            </w:pPr>
            <w:r>
              <w:rPr>
                <w:rFonts w:asciiTheme="majorHAnsi" w:hAnsiTheme="majorHAnsi"/>
                <w:sz w:val="20"/>
                <w:szCs w:val="20"/>
              </w:rPr>
              <w:t>Karar 11: A.5., H.5.4</w:t>
            </w:r>
          </w:p>
          <w:p w:rsidR="001D3D69" w:rsidRPr="00E97063" w:rsidRDefault="001D3D69" w:rsidP="003A7E54">
            <w:pPr>
              <w:rPr>
                <w:rFonts w:asciiTheme="majorHAnsi" w:hAnsiTheme="majorHAnsi"/>
                <w:sz w:val="20"/>
                <w:szCs w:val="20"/>
              </w:rPr>
            </w:pP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Default="00ED5AAC" w:rsidP="00291884">
            <w:pPr>
              <w:rPr>
                <w:rFonts w:asciiTheme="majorHAnsi" w:hAnsiTheme="majorHAnsi"/>
                <w:sz w:val="20"/>
                <w:szCs w:val="20"/>
              </w:rPr>
            </w:pPr>
            <w:r w:rsidRPr="00E97063">
              <w:rPr>
                <w:rFonts w:asciiTheme="majorHAnsi" w:hAnsiTheme="majorHAnsi"/>
                <w:sz w:val="20"/>
                <w:szCs w:val="20"/>
              </w:rPr>
              <w:t xml:space="preserve">Karar 1: </w:t>
            </w:r>
            <w:r w:rsidR="00D607C8">
              <w:rPr>
                <w:rFonts w:asciiTheme="majorHAnsi" w:hAnsiTheme="majorHAnsi"/>
                <w:sz w:val="20"/>
                <w:szCs w:val="20"/>
              </w:rPr>
              <w:t xml:space="preserve">A.3., </w:t>
            </w:r>
            <w:r w:rsidRPr="00E97063">
              <w:rPr>
                <w:rFonts w:asciiTheme="majorHAnsi" w:hAnsiTheme="majorHAnsi"/>
                <w:sz w:val="20"/>
                <w:szCs w:val="20"/>
              </w:rPr>
              <w:t>A</w:t>
            </w:r>
            <w:r w:rsidR="00D607C8">
              <w:rPr>
                <w:rFonts w:asciiTheme="majorHAnsi" w:hAnsiTheme="majorHAnsi"/>
                <w:sz w:val="20"/>
                <w:szCs w:val="20"/>
              </w:rPr>
              <w:t>.3</w:t>
            </w:r>
            <w:r w:rsidRPr="00E97063">
              <w:rPr>
                <w:rFonts w:asciiTheme="majorHAnsi" w:hAnsiTheme="majorHAnsi"/>
                <w:sz w:val="20"/>
                <w:szCs w:val="20"/>
              </w:rPr>
              <w:t>.</w:t>
            </w:r>
            <w:r w:rsidR="00D607C8">
              <w:rPr>
                <w:rFonts w:asciiTheme="majorHAnsi" w:hAnsiTheme="majorHAnsi"/>
                <w:sz w:val="20"/>
                <w:szCs w:val="20"/>
              </w:rPr>
              <w:t>2</w:t>
            </w:r>
            <w:r w:rsidRPr="00E97063">
              <w:rPr>
                <w:rFonts w:asciiTheme="majorHAnsi" w:hAnsiTheme="majorHAnsi"/>
                <w:sz w:val="20"/>
                <w:szCs w:val="20"/>
              </w:rPr>
              <w:t xml:space="preserve">., </w:t>
            </w:r>
            <w:r w:rsidR="002C6E61">
              <w:rPr>
                <w:rFonts w:asciiTheme="majorHAnsi" w:hAnsiTheme="majorHAnsi"/>
                <w:sz w:val="20"/>
                <w:szCs w:val="20"/>
              </w:rPr>
              <w:t>A.</w:t>
            </w:r>
            <w:r w:rsidR="00D607C8">
              <w:rPr>
                <w:rFonts w:asciiTheme="majorHAnsi" w:hAnsiTheme="majorHAnsi"/>
                <w:sz w:val="20"/>
                <w:szCs w:val="20"/>
              </w:rPr>
              <w:t>4., A.4</w:t>
            </w:r>
            <w:r w:rsidR="002C6E61">
              <w:rPr>
                <w:rFonts w:asciiTheme="majorHAnsi" w:hAnsiTheme="majorHAnsi"/>
                <w:sz w:val="20"/>
                <w:szCs w:val="20"/>
              </w:rPr>
              <w:t>.</w:t>
            </w:r>
            <w:r w:rsidR="00280B6D">
              <w:rPr>
                <w:rFonts w:asciiTheme="majorHAnsi" w:hAnsiTheme="majorHAnsi"/>
                <w:sz w:val="20"/>
                <w:szCs w:val="20"/>
              </w:rPr>
              <w:t>2</w:t>
            </w:r>
            <w:r w:rsidRPr="00E97063">
              <w:rPr>
                <w:rFonts w:asciiTheme="majorHAnsi" w:hAnsiTheme="majorHAnsi"/>
                <w:sz w:val="20"/>
                <w:szCs w:val="20"/>
              </w:rPr>
              <w:t>.</w:t>
            </w:r>
            <w:r w:rsidR="00D12E15">
              <w:rPr>
                <w:rFonts w:asciiTheme="majorHAnsi" w:hAnsiTheme="majorHAnsi"/>
                <w:sz w:val="20"/>
                <w:szCs w:val="20"/>
              </w:rPr>
              <w:t xml:space="preserve"> </w:t>
            </w:r>
          </w:p>
          <w:p w:rsidR="00343B76"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E70FB0">
              <w:rPr>
                <w:rFonts w:asciiTheme="majorHAnsi" w:hAnsiTheme="majorHAnsi"/>
                <w:sz w:val="20"/>
                <w:szCs w:val="20"/>
              </w:rPr>
              <w:t>2</w:t>
            </w:r>
            <w:r w:rsidRPr="00E97063">
              <w:rPr>
                <w:rFonts w:asciiTheme="majorHAnsi" w:hAnsiTheme="majorHAnsi"/>
                <w:sz w:val="20"/>
                <w:szCs w:val="20"/>
              </w:rPr>
              <w:t xml:space="preserve">: </w:t>
            </w:r>
            <w:r w:rsidR="00210C08">
              <w:rPr>
                <w:rFonts w:asciiTheme="majorHAnsi" w:hAnsiTheme="majorHAnsi"/>
                <w:sz w:val="20"/>
                <w:szCs w:val="20"/>
              </w:rPr>
              <w:t xml:space="preserve">A.3., </w:t>
            </w:r>
            <w:r w:rsidR="00210C08" w:rsidRPr="00E97063">
              <w:rPr>
                <w:rFonts w:asciiTheme="majorHAnsi" w:hAnsiTheme="majorHAnsi"/>
                <w:sz w:val="20"/>
                <w:szCs w:val="20"/>
              </w:rPr>
              <w:t>A</w:t>
            </w:r>
            <w:r w:rsidR="00210C08">
              <w:rPr>
                <w:rFonts w:asciiTheme="majorHAnsi" w:hAnsiTheme="majorHAnsi"/>
                <w:sz w:val="20"/>
                <w:szCs w:val="20"/>
              </w:rPr>
              <w:t>.3</w:t>
            </w:r>
            <w:r w:rsidR="00210C08" w:rsidRPr="00E97063">
              <w:rPr>
                <w:rFonts w:asciiTheme="majorHAnsi" w:hAnsiTheme="majorHAnsi"/>
                <w:sz w:val="20"/>
                <w:szCs w:val="20"/>
              </w:rPr>
              <w:t>.</w:t>
            </w:r>
            <w:r w:rsidR="00210C08">
              <w:rPr>
                <w:rFonts w:asciiTheme="majorHAnsi" w:hAnsiTheme="majorHAnsi"/>
                <w:sz w:val="20"/>
                <w:szCs w:val="20"/>
              </w:rPr>
              <w:t>2</w:t>
            </w:r>
            <w:r w:rsidR="00210C08" w:rsidRPr="00E97063">
              <w:rPr>
                <w:rFonts w:asciiTheme="majorHAnsi" w:hAnsiTheme="majorHAnsi"/>
                <w:sz w:val="20"/>
                <w:szCs w:val="20"/>
              </w:rPr>
              <w:t>.</w:t>
            </w:r>
            <w:proofErr w:type="gramStart"/>
            <w:r w:rsidR="00210C08" w:rsidRPr="00E97063">
              <w:rPr>
                <w:rFonts w:asciiTheme="majorHAnsi" w:hAnsiTheme="majorHAnsi"/>
                <w:sz w:val="20"/>
                <w:szCs w:val="20"/>
              </w:rPr>
              <w:t>,</w:t>
            </w:r>
            <w:r w:rsidR="00210C08">
              <w:rPr>
                <w:rFonts w:asciiTheme="majorHAnsi" w:hAnsiTheme="majorHAnsi"/>
                <w:sz w:val="20"/>
                <w:szCs w:val="20"/>
              </w:rPr>
              <w:t xml:space="preserve"> </w:t>
            </w:r>
            <w:r w:rsidR="00210C08" w:rsidRPr="00E97063">
              <w:rPr>
                <w:rFonts w:asciiTheme="majorHAnsi" w:hAnsiTheme="majorHAnsi"/>
                <w:sz w:val="20"/>
                <w:szCs w:val="20"/>
              </w:rPr>
              <w:t xml:space="preserve"> </w:t>
            </w:r>
            <w:r w:rsidR="00210C08">
              <w:rPr>
                <w:rFonts w:asciiTheme="majorHAnsi" w:hAnsiTheme="majorHAnsi"/>
                <w:sz w:val="20"/>
                <w:szCs w:val="20"/>
              </w:rPr>
              <w:t>A.4.</w:t>
            </w:r>
            <w:proofErr w:type="gramEnd"/>
            <w:r w:rsidR="00210C08">
              <w:rPr>
                <w:rFonts w:asciiTheme="majorHAnsi" w:hAnsiTheme="majorHAnsi"/>
                <w:sz w:val="20"/>
                <w:szCs w:val="20"/>
              </w:rPr>
              <w:t>, A.4.2</w:t>
            </w:r>
            <w:r w:rsidR="00210C08" w:rsidRPr="00E97063">
              <w:rPr>
                <w:rFonts w:asciiTheme="majorHAnsi" w:hAnsiTheme="majorHAnsi"/>
                <w:sz w:val="20"/>
                <w:szCs w:val="20"/>
              </w:rPr>
              <w:t>.</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3</w:t>
            </w:r>
            <w:r w:rsidRPr="00E97063">
              <w:rPr>
                <w:rFonts w:asciiTheme="majorHAnsi" w:hAnsiTheme="majorHAnsi"/>
                <w:sz w:val="20"/>
                <w:szCs w:val="20"/>
              </w:rPr>
              <w:t xml:space="preserve">: </w:t>
            </w:r>
            <w:r w:rsidR="00F41302">
              <w:rPr>
                <w:rFonts w:asciiTheme="majorHAnsi" w:hAnsiTheme="majorHAnsi"/>
                <w:sz w:val="20"/>
                <w:szCs w:val="20"/>
              </w:rPr>
              <w:t xml:space="preserve">A.3., </w:t>
            </w:r>
            <w:r w:rsidR="00F41302" w:rsidRPr="00E97063">
              <w:rPr>
                <w:rFonts w:asciiTheme="majorHAnsi" w:hAnsiTheme="majorHAnsi"/>
                <w:sz w:val="20"/>
                <w:szCs w:val="20"/>
              </w:rPr>
              <w:t>A</w:t>
            </w:r>
            <w:r w:rsidR="00F41302">
              <w:rPr>
                <w:rFonts w:asciiTheme="majorHAnsi" w:hAnsiTheme="majorHAnsi"/>
                <w:sz w:val="20"/>
                <w:szCs w:val="20"/>
              </w:rPr>
              <w:t>.3</w:t>
            </w:r>
            <w:r w:rsidR="00F41302" w:rsidRPr="00E97063">
              <w:rPr>
                <w:rFonts w:asciiTheme="majorHAnsi" w:hAnsiTheme="majorHAnsi"/>
                <w:sz w:val="20"/>
                <w:szCs w:val="20"/>
              </w:rPr>
              <w:t>.</w:t>
            </w:r>
            <w:r w:rsidR="00F41302">
              <w:rPr>
                <w:rFonts w:asciiTheme="majorHAnsi" w:hAnsiTheme="majorHAnsi"/>
                <w:sz w:val="20"/>
                <w:szCs w:val="20"/>
              </w:rPr>
              <w:t>2</w:t>
            </w:r>
            <w:r w:rsidR="00F41302" w:rsidRPr="00E97063">
              <w:rPr>
                <w:rFonts w:asciiTheme="majorHAnsi" w:hAnsiTheme="majorHAnsi"/>
                <w:sz w:val="20"/>
                <w:szCs w:val="20"/>
              </w:rPr>
              <w:t>.,</w:t>
            </w:r>
            <w:r w:rsidR="00F41302">
              <w:rPr>
                <w:rFonts w:asciiTheme="majorHAnsi" w:hAnsiTheme="majorHAnsi"/>
                <w:sz w:val="20"/>
                <w:szCs w:val="20"/>
              </w:rPr>
              <w:t xml:space="preserve"> A.3.4.,</w:t>
            </w:r>
            <w:r w:rsidR="00F41302" w:rsidRPr="00E97063">
              <w:rPr>
                <w:rFonts w:asciiTheme="majorHAnsi" w:hAnsiTheme="majorHAnsi"/>
                <w:sz w:val="20"/>
                <w:szCs w:val="20"/>
              </w:rPr>
              <w:t xml:space="preserve"> </w:t>
            </w:r>
            <w:r w:rsidR="00F41302">
              <w:rPr>
                <w:rFonts w:asciiTheme="majorHAnsi" w:hAnsiTheme="majorHAnsi"/>
                <w:sz w:val="20"/>
                <w:szCs w:val="20"/>
              </w:rPr>
              <w:t>A.4.</w:t>
            </w:r>
          </w:p>
          <w:p w:rsidR="00A0413E" w:rsidRDefault="006C75DE" w:rsidP="003A7E5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cs="Times New Roman"/>
                <w:sz w:val="20"/>
                <w:szCs w:val="20"/>
              </w:rPr>
              <w:t xml:space="preserve"> </w:t>
            </w:r>
            <w:r w:rsidR="00F41302">
              <w:rPr>
                <w:rFonts w:asciiTheme="majorHAnsi" w:hAnsiTheme="majorHAnsi"/>
                <w:sz w:val="20"/>
                <w:szCs w:val="20"/>
              </w:rPr>
              <w:t>A.</w:t>
            </w:r>
            <w:r w:rsidR="00421E5E">
              <w:rPr>
                <w:rFonts w:asciiTheme="majorHAnsi" w:hAnsiTheme="majorHAnsi"/>
                <w:sz w:val="20"/>
                <w:szCs w:val="20"/>
              </w:rPr>
              <w:t>1</w:t>
            </w:r>
            <w:r w:rsidR="00F41302">
              <w:rPr>
                <w:rFonts w:asciiTheme="majorHAnsi" w:hAnsiTheme="majorHAnsi"/>
                <w:sz w:val="20"/>
                <w:szCs w:val="20"/>
              </w:rPr>
              <w:t xml:space="preserve">., </w:t>
            </w:r>
            <w:r w:rsidR="00F41302" w:rsidRPr="00E97063">
              <w:rPr>
                <w:rFonts w:asciiTheme="majorHAnsi" w:hAnsiTheme="majorHAnsi"/>
                <w:sz w:val="20"/>
                <w:szCs w:val="20"/>
              </w:rPr>
              <w:t>A</w:t>
            </w:r>
            <w:r w:rsidR="00F41302">
              <w:rPr>
                <w:rFonts w:asciiTheme="majorHAnsi" w:hAnsiTheme="majorHAnsi"/>
                <w:sz w:val="20"/>
                <w:szCs w:val="20"/>
              </w:rPr>
              <w:t>.</w:t>
            </w:r>
            <w:r w:rsidR="00421E5E">
              <w:rPr>
                <w:rFonts w:asciiTheme="majorHAnsi" w:hAnsiTheme="majorHAnsi"/>
                <w:sz w:val="20"/>
                <w:szCs w:val="20"/>
              </w:rPr>
              <w:t>1</w:t>
            </w:r>
            <w:r w:rsidR="00F41302" w:rsidRPr="00E97063">
              <w:rPr>
                <w:rFonts w:asciiTheme="majorHAnsi" w:hAnsiTheme="majorHAnsi"/>
                <w:sz w:val="20"/>
                <w:szCs w:val="20"/>
              </w:rPr>
              <w:t>.</w:t>
            </w:r>
            <w:r w:rsidR="00421E5E">
              <w:rPr>
                <w:rFonts w:asciiTheme="majorHAnsi" w:hAnsiTheme="majorHAnsi"/>
                <w:sz w:val="20"/>
                <w:szCs w:val="20"/>
              </w:rPr>
              <w:t>4</w:t>
            </w:r>
            <w:r w:rsidR="00F41302" w:rsidRPr="00E97063">
              <w:rPr>
                <w:rFonts w:asciiTheme="majorHAnsi" w:hAnsiTheme="majorHAnsi"/>
                <w:sz w:val="20"/>
                <w:szCs w:val="20"/>
              </w:rPr>
              <w:t>.,</w:t>
            </w:r>
            <w:r w:rsidR="00F41302">
              <w:rPr>
                <w:rFonts w:asciiTheme="majorHAnsi" w:hAnsiTheme="majorHAnsi"/>
                <w:sz w:val="20"/>
                <w:szCs w:val="20"/>
              </w:rPr>
              <w:t xml:space="preserve"> </w:t>
            </w:r>
            <w:r w:rsidR="00421E5E">
              <w:rPr>
                <w:rFonts w:asciiTheme="majorHAnsi" w:hAnsiTheme="majorHAnsi"/>
                <w:sz w:val="20"/>
                <w:szCs w:val="20"/>
              </w:rPr>
              <w:t>B.1., B</w:t>
            </w:r>
            <w:r w:rsidR="00F41302">
              <w:rPr>
                <w:rFonts w:asciiTheme="majorHAnsi" w:hAnsiTheme="majorHAnsi"/>
                <w:sz w:val="20"/>
                <w:szCs w:val="20"/>
              </w:rPr>
              <w:t>.</w:t>
            </w:r>
            <w:r w:rsidR="00421E5E">
              <w:rPr>
                <w:rFonts w:asciiTheme="majorHAnsi" w:hAnsiTheme="majorHAnsi"/>
                <w:sz w:val="20"/>
                <w:szCs w:val="20"/>
              </w:rPr>
              <w:t>1</w:t>
            </w:r>
            <w:r w:rsidR="00F41302">
              <w:rPr>
                <w:rFonts w:asciiTheme="majorHAnsi" w:hAnsiTheme="majorHAnsi"/>
                <w:sz w:val="20"/>
                <w:szCs w:val="20"/>
              </w:rPr>
              <w:t>.</w:t>
            </w:r>
            <w:r w:rsidR="00421E5E">
              <w:rPr>
                <w:rFonts w:asciiTheme="majorHAnsi" w:hAnsiTheme="majorHAnsi"/>
                <w:sz w:val="20"/>
                <w:szCs w:val="20"/>
              </w:rPr>
              <w:t>1</w:t>
            </w:r>
            <w:r w:rsidR="00F41302">
              <w:rPr>
                <w:rFonts w:asciiTheme="majorHAnsi" w:hAnsiTheme="majorHAnsi"/>
                <w:sz w:val="20"/>
                <w:szCs w:val="20"/>
              </w:rPr>
              <w:t>.,</w:t>
            </w:r>
            <w:r w:rsidR="00F41302" w:rsidRPr="00E97063">
              <w:rPr>
                <w:rFonts w:asciiTheme="majorHAnsi" w:hAnsiTheme="majorHAnsi"/>
                <w:sz w:val="20"/>
                <w:szCs w:val="20"/>
              </w:rPr>
              <w:t xml:space="preserve"> </w:t>
            </w:r>
            <w:r w:rsidR="00421E5E">
              <w:rPr>
                <w:rFonts w:asciiTheme="majorHAnsi" w:hAnsiTheme="majorHAnsi"/>
                <w:sz w:val="20"/>
                <w:szCs w:val="20"/>
              </w:rPr>
              <w:t>B</w:t>
            </w:r>
            <w:r w:rsidR="00F41302">
              <w:rPr>
                <w:rFonts w:asciiTheme="majorHAnsi" w:hAnsiTheme="majorHAnsi"/>
                <w:sz w:val="20"/>
                <w:szCs w:val="20"/>
              </w:rPr>
              <w:t>.</w:t>
            </w:r>
            <w:r w:rsidR="00421E5E">
              <w:rPr>
                <w:rFonts w:asciiTheme="majorHAnsi" w:hAnsiTheme="majorHAnsi"/>
                <w:sz w:val="20"/>
                <w:szCs w:val="20"/>
              </w:rPr>
              <w:t>1.5</w:t>
            </w:r>
            <w:r w:rsidR="00F41302">
              <w:rPr>
                <w:rFonts w:asciiTheme="majorHAnsi" w:hAnsiTheme="majorHAnsi"/>
                <w:sz w:val="20"/>
                <w:szCs w:val="20"/>
              </w:rPr>
              <w:t>.</w:t>
            </w:r>
          </w:p>
          <w:p w:rsidR="003A7E54" w:rsidRDefault="003A7E54" w:rsidP="003A7E54">
            <w:pPr>
              <w:rPr>
                <w:rFonts w:asciiTheme="majorHAnsi" w:hAnsiTheme="majorHAnsi"/>
                <w:sz w:val="20"/>
                <w:szCs w:val="20"/>
              </w:rPr>
            </w:pPr>
            <w:r>
              <w:rPr>
                <w:rFonts w:asciiTheme="majorHAnsi" w:hAnsiTheme="majorHAnsi"/>
                <w:sz w:val="20"/>
                <w:szCs w:val="20"/>
              </w:rPr>
              <w:t xml:space="preserve">Karar </w:t>
            </w:r>
            <w:r w:rsidR="00960332">
              <w:rPr>
                <w:rFonts w:asciiTheme="majorHAnsi" w:hAnsiTheme="majorHAnsi"/>
                <w:sz w:val="20"/>
                <w:szCs w:val="20"/>
              </w:rPr>
              <w:t>5</w:t>
            </w:r>
            <w:r>
              <w:rPr>
                <w:rFonts w:asciiTheme="majorHAnsi" w:hAnsiTheme="majorHAnsi"/>
                <w:sz w:val="20"/>
                <w:szCs w:val="20"/>
              </w:rPr>
              <w:t>:</w:t>
            </w:r>
            <w:r w:rsidR="0025205A">
              <w:rPr>
                <w:rFonts w:asciiTheme="majorHAnsi" w:hAnsiTheme="majorHAnsi"/>
                <w:sz w:val="20"/>
                <w:szCs w:val="20"/>
              </w:rPr>
              <w:t xml:space="preserve"> </w:t>
            </w:r>
            <w:r w:rsidR="00905072">
              <w:rPr>
                <w:rFonts w:asciiTheme="majorHAnsi" w:hAnsiTheme="majorHAnsi"/>
                <w:sz w:val="20"/>
                <w:szCs w:val="20"/>
              </w:rPr>
              <w:t>A.</w:t>
            </w:r>
            <w:r w:rsidR="0068657F">
              <w:rPr>
                <w:rFonts w:asciiTheme="majorHAnsi" w:hAnsiTheme="majorHAnsi"/>
                <w:sz w:val="20"/>
                <w:szCs w:val="20"/>
              </w:rPr>
              <w:t>1, B.1.</w:t>
            </w:r>
          </w:p>
          <w:p w:rsidR="00905072" w:rsidRDefault="00905072" w:rsidP="003A7E54">
            <w:pPr>
              <w:rPr>
                <w:rFonts w:asciiTheme="majorHAnsi" w:hAnsiTheme="majorHAnsi"/>
                <w:sz w:val="20"/>
                <w:szCs w:val="20"/>
              </w:rPr>
            </w:pPr>
            <w:r>
              <w:rPr>
                <w:rFonts w:asciiTheme="majorHAnsi" w:hAnsiTheme="majorHAnsi"/>
                <w:sz w:val="20"/>
                <w:szCs w:val="20"/>
              </w:rPr>
              <w:t xml:space="preserve">Karar 6: 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r>
              <w:rPr>
                <w:rFonts w:asciiTheme="majorHAnsi" w:hAnsiTheme="majorHAnsi"/>
                <w:sz w:val="20"/>
                <w:szCs w:val="20"/>
              </w:rPr>
              <w:t xml:space="preserve"> </w:t>
            </w:r>
            <w:r w:rsidR="0068657F">
              <w:rPr>
                <w:rFonts w:asciiTheme="majorHAnsi" w:hAnsiTheme="majorHAnsi"/>
                <w:sz w:val="20"/>
                <w:szCs w:val="20"/>
              </w:rPr>
              <w:t>A.4.</w:t>
            </w:r>
          </w:p>
          <w:p w:rsidR="00420266" w:rsidRDefault="00420266" w:rsidP="003A7E54">
            <w:pPr>
              <w:rPr>
                <w:rFonts w:asciiTheme="majorHAnsi" w:hAnsiTheme="majorHAnsi"/>
                <w:sz w:val="20"/>
                <w:szCs w:val="20"/>
              </w:rPr>
            </w:pPr>
            <w:r>
              <w:rPr>
                <w:rFonts w:asciiTheme="majorHAnsi" w:hAnsiTheme="majorHAnsi"/>
                <w:sz w:val="20"/>
                <w:szCs w:val="20"/>
              </w:rPr>
              <w:t xml:space="preserve">Karar 8: </w:t>
            </w:r>
            <w:r w:rsidR="001D3D69">
              <w:rPr>
                <w:rFonts w:asciiTheme="majorHAnsi" w:hAnsiTheme="majorHAnsi"/>
                <w:sz w:val="20"/>
                <w:szCs w:val="20"/>
              </w:rPr>
              <w:t xml:space="preserve">A.1., </w:t>
            </w:r>
            <w:r w:rsidR="001D3D69" w:rsidRPr="00E97063">
              <w:rPr>
                <w:rFonts w:asciiTheme="majorHAnsi" w:hAnsiTheme="majorHAnsi"/>
                <w:sz w:val="20"/>
                <w:szCs w:val="20"/>
              </w:rPr>
              <w:t>A</w:t>
            </w:r>
            <w:r w:rsidR="001D3D69">
              <w:rPr>
                <w:rFonts w:asciiTheme="majorHAnsi" w:hAnsiTheme="majorHAnsi"/>
                <w:sz w:val="20"/>
                <w:szCs w:val="20"/>
              </w:rPr>
              <w:t>.1</w:t>
            </w:r>
            <w:r w:rsidR="001D3D69" w:rsidRPr="00E97063">
              <w:rPr>
                <w:rFonts w:asciiTheme="majorHAnsi" w:hAnsiTheme="majorHAnsi"/>
                <w:sz w:val="20"/>
                <w:szCs w:val="20"/>
              </w:rPr>
              <w:t>.</w:t>
            </w:r>
            <w:r w:rsidR="001D3D69">
              <w:rPr>
                <w:rFonts w:asciiTheme="majorHAnsi" w:hAnsiTheme="majorHAnsi"/>
                <w:sz w:val="20"/>
                <w:szCs w:val="20"/>
              </w:rPr>
              <w:t>4</w:t>
            </w:r>
            <w:r w:rsidR="001D3D69" w:rsidRPr="00E97063">
              <w:rPr>
                <w:rFonts w:asciiTheme="majorHAnsi" w:hAnsiTheme="majorHAnsi"/>
                <w:sz w:val="20"/>
                <w:szCs w:val="20"/>
              </w:rPr>
              <w:t>.,</w:t>
            </w:r>
            <w:r w:rsidR="001D3D69">
              <w:rPr>
                <w:rFonts w:asciiTheme="majorHAnsi" w:hAnsiTheme="majorHAnsi"/>
                <w:sz w:val="20"/>
                <w:szCs w:val="20"/>
              </w:rPr>
              <w:t xml:space="preserve"> B.1., B.1.1.,</w:t>
            </w:r>
            <w:r w:rsidR="001D3D69" w:rsidRPr="00E97063">
              <w:rPr>
                <w:rFonts w:asciiTheme="majorHAnsi" w:hAnsiTheme="majorHAnsi"/>
                <w:sz w:val="20"/>
                <w:szCs w:val="20"/>
              </w:rPr>
              <w:t xml:space="preserve"> </w:t>
            </w:r>
            <w:r w:rsidR="001D3D69">
              <w:rPr>
                <w:rFonts w:asciiTheme="majorHAnsi" w:hAnsiTheme="majorHAnsi"/>
                <w:sz w:val="20"/>
                <w:szCs w:val="20"/>
              </w:rPr>
              <w:t>B.1.5.</w:t>
            </w:r>
          </w:p>
          <w:p w:rsidR="001D3D69" w:rsidRPr="00E97063" w:rsidRDefault="001D3D69" w:rsidP="001D3D69">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9</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r>
              <w:rPr>
                <w:rFonts w:asciiTheme="majorHAnsi" w:hAnsiTheme="majorHAnsi"/>
                <w:sz w:val="20"/>
                <w:szCs w:val="20"/>
              </w:rPr>
              <w:t xml:space="preserve"> A.3.4.,</w:t>
            </w:r>
            <w:r w:rsidRPr="00E97063">
              <w:rPr>
                <w:rFonts w:asciiTheme="majorHAnsi" w:hAnsiTheme="majorHAnsi"/>
                <w:sz w:val="20"/>
                <w:szCs w:val="20"/>
              </w:rPr>
              <w:t xml:space="preserve"> </w:t>
            </w:r>
            <w:r>
              <w:rPr>
                <w:rFonts w:asciiTheme="majorHAnsi" w:hAnsiTheme="majorHAnsi"/>
                <w:sz w:val="20"/>
                <w:szCs w:val="20"/>
              </w:rPr>
              <w:t>A.4.</w:t>
            </w:r>
          </w:p>
          <w:p w:rsidR="001D3D69" w:rsidRDefault="001D3D69" w:rsidP="001D3D69">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0</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 xml:space="preserve">., </w:t>
            </w:r>
            <w:r>
              <w:rPr>
                <w:rFonts w:asciiTheme="majorHAnsi" w:hAnsiTheme="majorHAnsi"/>
                <w:sz w:val="20"/>
                <w:szCs w:val="20"/>
              </w:rPr>
              <w:t>A.4., A.4.2</w:t>
            </w:r>
            <w:r w:rsidRPr="00E97063">
              <w:rPr>
                <w:rFonts w:asciiTheme="majorHAnsi" w:hAnsiTheme="majorHAnsi"/>
                <w:sz w:val="20"/>
                <w:szCs w:val="20"/>
              </w:rPr>
              <w:t>.</w:t>
            </w:r>
            <w:r>
              <w:rPr>
                <w:rFonts w:asciiTheme="majorHAnsi" w:hAnsiTheme="majorHAnsi"/>
                <w:sz w:val="20"/>
                <w:szCs w:val="20"/>
              </w:rPr>
              <w:t xml:space="preserve"> </w:t>
            </w:r>
          </w:p>
          <w:p w:rsidR="001D3D69" w:rsidRDefault="001D3D69" w:rsidP="001D3D69">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11</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proofErr w:type="gramStart"/>
            <w:r w:rsidRPr="00E97063">
              <w:rPr>
                <w:rFonts w:asciiTheme="majorHAnsi" w:hAnsiTheme="majorHAnsi"/>
                <w:sz w:val="20"/>
                <w:szCs w:val="20"/>
              </w:rPr>
              <w:t>,</w:t>
            </w:r>
            <w:r>
              <w:rPr>
                <w:rFonts w:asciiTheme="majorHAnsi" w:hAnsiTheme="majorHAnsi"/>
                <w:sz w:val="20"/>
                <w:szCs w:val="20"/>
              </w:rPr>
              <w:t xml:space="preserve"> </w:t>
            </w:r>
            <w:r w:rsidRPr="00E97063">
              <w:rPr>
                <w:rFonts w:asciiTheme="majorHAnsi" w:hAnsiTheme="majorHAnsi"/>
                <w:sz w:val="20"/>
                <w:szCs w:val="20"/>
              </w:rPr>
              <w:t xml:space="preserve"> </w:t>
            </w:r>
            <w:r>
              <w:rPr>
                <w:rFonts w:asciiTheme="majorHAnsi" w:hAnsiTheme="majorHAnsi"/>
                <w:sz w:val="20"/>
                <w:szCs w:val="20"/>
              </w:rPr>
              <w:t>A.4.</w:t>
            </w:r>
            <w:proofErr w:type="gramEnd"/>
            <w:r>
              <w:rPr>
                <w:rFonts w:asciiTheme="majorHAnsi" w:hAnsiTheme="majorHAnsi"/>
                <w:sz w:val="20"/>
                <w:szCs w:val="20"/>
              </w:rPr>
              <w:t>, A.4.2</w:t>
            </w:r>
            <w:r w:rsidRPr="00E97063">
              <w:rPr>
                <w:rFonts w:asciiTheme="majorHAnsi" w:hAnsiTheme="majorHAnsi"/>
                <w:sz w:val="20"/>
                <w:szCs w:val="20"/>
              </w:rPr>
              <w:t>.</w:t>
            </w:r>
          </w:p>
          <w:p w:rsidR="001D3D69" w:rsidRPr="00E97063" w:rsidRDefault="001D3D69" w:rsidP="001D3D69">
            <w:pPr>
              <w:rPr>
                <w:rFonts w:asciiTheme="majorHAnsi" w:hAnsiTheme="majorHAnsi"/>
                <w:sz w:val="20"/>
                <w:szCs w:val="20"/>
              </w:rPr>
            </w:pP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Default="007C4FA9" w:rsidP="00291884">
            <w:pPr>
              <w:rPr>
                <w:rFonts w:asciiTheme="majorHAnsi" w:hAnsiTheme="majorHAnsi"/>
                <w:sz w:val="20"/>
                <w:szCs w:val="20"/>
              </w:rPr>
            </w:pPr>
            <w:r w:rsidRPr="00E97063">
              <w:rPr>
                <w:rFonts w:asciiTheme="majorHAnsi" w:hAnsiTheme="majorHAnsi"/>
                <w:sz w:val="20"/>
                <w:szCs w:val="20"/>
              </w:rPr>
              <w:t>Karar 1: SKA 4</w:t>
            </w:r>
            <w:r w:rsidR="00960332">
              <w:rPr>
                <w:rFonts w:asciiTheme="majorHAnsi" w:hAnsiTheme="majorHAnsi"/>
                <w:sz w:val="20"/>
                <w:szCs w:val="20"/>
              </w:rPr>
              <w:t>, SKA 16</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2</w:t>
            </w:r>
            <w:r w:rsidRPr="00E97063">
              <w:rPr>
                <w:rFonts w:asciiTheme="majorHAnsi" w:hAnsiTheme="majorHAnsi"/>
                <w:sz w:val="20"/>
                <w:szCs w:val="20"/>
              </w:rPr>
              <w:t xml:space="preserve">: </w:t>
            </w:r>
            <w:r w:rsidR="00F101F6" w:rsidRPr="00E97063">
              <w:rPr>
                <w:rFonts w:asciiTheme="majorHAnsi" w:hAnsiTheme="majorHAnsi"/>
                <w:sz w:val="20"/>
                <w:szCs w:val="20"/>
              </w:rPr>
              <w:t>SKA 4</w:t>
            </w:r>
            <w:r w:rsidR="00960332">
              <w:rPr>
                <w:rFonts w:asciiTheme="majorHAnsi" w:hAnsiTheme="majorHAnsi"/>
                <w:sz w:val="20"/>
                <w:szCs w:val="20"/>
              </w:rPr>
              <w:t>, SKA 16</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3</w:t>
            </w:r>
            <w:r w:rsidRPr="00E97063">
              <w:rPr>
                <w:rFonts w:asciiTheme="majorHAnsi" w:hAnsiTheme="majorHAnsi"/>
                <w:sz w:val="20"/>
                <w:szCs w:val="20"/>
              </w:rPr>
              <w:t xml:space="preserve">: </w:t>
            </w:r>
            <w:r w:rsidR="00C730C2" w:rsidRPr="00E97063">
              <w:rPr>
                <w:rFonts w:asciiTheme="majorHAnsi" w:hAnsiTheme="majorHAnsi"/>
                <w:sz w:val="20"/>
                <w:szCs w:val="20"/>
              </w:rPr>
              <w:t>SKA 4</w:t>
            </w:r>
            <w:r w:rsidR="00C730C2">
              <w:rPr>
                <w:rFonts w:asciiTheme="majorHAnsi" w:hAnsiTheme="majorHAnsi"/>
                <w:sz w:val="20"/>
                <w:szCs w:val="20"/>
              </w:rPr>
              <w:t>, SKA 16, SKA 17</w:t>
            </w:r>
          </w:p>
          <w:p w:rsidR="006C75DE" w:rsidRDefault="006C75DE" w:rsidP="006C75DE">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sz w:val="20"/>
                <w:szCs w:val="20"/>
              </w:rPr>
              <w:t xml:space="preserve"> </w:t>
            </w:r>
            <w:r w:rsidR="00C730C2" w:rsidRPr="00E97063">
              <w:rPr>
                <w:rFonts w:asciiTheme="majorHAnsi" w:hAnsiTheme="majorHAnsi"/>
                <w:sz w:val="20"/>
                <w:szCs w:val="20"/>
              </w:rPr>
              <w:t>SKA 4</w:t>
            </w:r>
            <w:r w:rsidR="00C730C2">
              <w:rPr>
                <w:rFonts w:asciiTheme="majorHAnsi" w:hAnsiTheme="majorHAnsi"/>
                <w:sz w:val="20"/>
                <w:szCs w:val="20"/>
              </w:rPr>
              <w:t>, SKA 16</w:t>
            </w:r>
            <w:r w:rsidR="00421E5E">
              <w:rPr>
                <w:rFonts w:asciiTheme="majorHAnsi" w:hAnsiTheme="majorHAnsi"/>
                <w:sz w:val="20"/>
                <w:szCs w:val="20"/>
              </w:rPr>
              <w:t>, SKA 17</w:t>
            </w:r>
          </w:p>
          <w:p w:rsidR="003A7E54" w:rsidRDefault="00A0413E" w:rsidP="003A7E5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5</w:t>
            </w:r>
            <w:r w:rsidRPr="00E97063">
              <w:rPr>
                <w:rFonts w:asciiTheme="majorHAnsi" w:hAnsiTheme="majorHAnsi"/>
                <w:sz w:val="20"/>
                <w:szCs w:val="20"/>
              </w:rPr>
              <w:t xml:space="preserve">: </w:t>
            </w:r>
            <w:r w:rsidR="00D70CFF" w:rsidRPr="00E97063">
              <w:rPr>
                <w:rFonts w:asciiTheme="majorHAnsi" w:hAnsiTheme="majorHAnsi"/>
                <w:sz w:val="20"/>
                <w:szCs w:val="20"/>
              </w:rPr>
              <w:t xml:space="preserve">SKA 4, </w:t>
            </w:r>
            <w:r w:rsidR="00905072">
              <w:rPr>
                <w:rFonts w:asciiTheme="majorHAnsi" w:hAnsiTheme="majorHAnsi"/>
                <w:sz w:val="20"/>
                <w:szCs w:val="20"/>
              </w:rPr>
              <w:t xml:space="preserve">SKA 16, </w:t>
            </w:r>
            <w:r w:rsidR="00D70CFF" w:rsidRPr="00E97063">
              <w:rPr>
                <w:rFonts w:asciiTheme="majorHAnsi" w:hAnsiTheme="majorHAnsi"/>
                <w:sz w:val="20"/>
                <w:szCs w:val="20"/>
              </w:rPr>
              <w:t>SKA 17</w:t>
            </w:r>
          </w:p>
          <w:p w:rsidR="00905072" w:rsidRDefault="00905072" w:rsidP="003A7E54">
            <w:pPr>
              <w:rPr>
                <w:rFonts w:asciiTheme="majorHAnsi" w:hAnsiTheme="majorHAnsi"/>
                <w:sz w:val="20"/>
                <w:szCs w:val="20"/>
              </w:rPr>
            </w:pPr>
            <w:r>
              <w:rPr>
                <w:rFonts w:asciiTheme="majorHAnsi" w:hAnsiTheme="majorHAnsi"/>
                <w:sz w:val="20"/>
                <w:szCs w:val="20"/>
              </w:rPr>
              <w:t>Karar 6:</w:t>
            </w:r>
            <w:r w:rsidRPr="00E97063">
              <w:rPr>
                <w:rFonts w:asciiTheme="majorHAnsi" w:hAnsiTheme="majorHAnsi"/>
                <w:sz w:val="20"/>
                <w:szCs w:val="20"/>
              </w:rPr>
              <w:t xml:space="preserve"> SKA 4, </w:t>
            </w:r>
            <w:r>
              <w:rPr>
                <w:rFonts w:asciiTheme="majorHAnsi" w:hAnsiTheme="majorHAnsi"/>
                <w:sz w:val="20"/>
                <w:szCs w:val="20"/>
              </w:rPr>
              <w:t xml:space="preserve">SKA 16, </w:t>
            </w:r>
            <w:r w:rsidRPr="00E97063">
              <w:rPr>
                <w:rFonts w:asciiTheme="majorHAnsi" w:hAnsiTheme="majorHAnsi"/>
                <w:sz w:val="20"/>
                <w:szCs w:val="20"/>
              </w:rPr>
              <w:t>SKA 17</w:t>
            </w:r>
          </w:p>
          <w:p w:rsidR="00420266" w:rsidRDefault="00420266" w:rsidP="003A7E54">
            <w:pPr>
              <w:rPr>
                <w:rFonts w:asciiTheme="majorHAnsi" w:hAnsiTheme="majorHAnsi"/>
                <w:sz w:val="20"/>
                <w:szCs w:val="20"/>
              </w:rPr>
            </w:pPr>
            <w:r>
              <w:rPr>
                <w:rFonts w:asciiTheme="majorHAnsi" w:hAnsiTheme="majorHAnsi"/>
                <w:sz w:val="20"/>
                <w:szCs w:val="20"/>
              </w:rPr>
              <w:t xml:space="preserve">Karar 8: </w:t>
            </w:r>
            <w:r w:rsidRPr="00E97063">
              <w:rPr>
                <w:rFonts w:asciiTheme="majorHAnsi" w:hAnsiTheme="majorHAnsi"/>
                <w:sz w:val="20"/>
                <w:szCs w:val="20"/>
              </w:rPr>
              <w:t xml:space="preserve">SKA 4, </w:t>
            </w:r>
            <w:r>
              <w:rPr>
                <w:rFonts w:asciiTheme="majorHAnsi" w:hAnsiTheme="majorHAnsi"/>
                <w:sz w:val="20"/>
                <w:szCs w:val="20"/>
              </w:rPr>
              <w:t>SKA 16. SKA 17</w:t>
            </w:r>
          </w:p>
          <w:p w:rsidR="001D3D69" w:rsidRDefault="001D3D69" w:rsidP="003A7E54">
            <w:pPr>
              <w:rPr>
                <w:rFonts w:asciiTheme="majorHAnsi" w:hAnsiTheme="majorHAnsi"/>
                <w:sz w:val="20"/>
                <w:szCs w:val="20"/>
              </w:rPr>
            </w:pPr>
            <w:r>
              <w:rPr>
                <w:rFonts w:asciiTheme="majorHAnsi" w:hAnsiTheme="majorHAnsi"/>
                <w:sz w:val="20"/>
                <w:szCs w:val="20"/>
              </w:rPr>
              <w:t xml:space="preserve">Karar 9: </w:t>
            </w:r>
            <w:r w:rsidRPr="00E97063">
              <w:rPr>
                <w:rFonts w:asciiTheme="majorHAnsi" w:hAnsiTheme="majorHAnsi"/>
                <w:sz w:val="20"/>
                <w:szCs w:val="20"/>
              </w:rPr>
              <w:t xml:space="preserve">SKA 4, </w:t>
            </w:r>
            <w:r>
              <w:rPr>
                <w:rFonts w:asciiTheme="majorHAnsi" w:hAnsiTheme="majorHAnsi"/>
                <w:sz w:val="20"/>
                <w:szCs w:val="20"/>
              </w:rPr>
              <w:t>SKA 16. SKA 17</w:t>
            </w:r>
          </w:p>
          <w:p w:rsidR="001D3D69" w:rsidRDefault="001D3D69" w:rsidP="001D3D69">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0</w:t>
            </w:r>
            <w:r w:rsidRPr="00E97063">
              <w:rPr>
                <w:rFonts w:asciiTheme="majorHAnsi" w:hAnsiTheme="majorHAnsi"/>
                <w:sz w:val="20"/>
                <w:szCs w:val="20"/>
              </w:rPr>
              <w:t>: SKA 4</w:t>
            </w:r>
            <w:r>
              <w:rPr>
                <w:rFonts w:asciiTheme="majorHAnsi" w:hAnsiTheme="majorHAnsi"/>
                <w:sz w:val="20"/>
                <w:szCs w:val="20"/>
              </w:rPr>
              <w:t>, SKA 16</w:t>
            </w:r>
          </w:p>
          <w:p w:rsidR="001D3D69" w:rsidRDefault="001D3D69" w:rsidP="001D3D69">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1</w:t>
            </w:r>
            <w:r w:rsidRPr="00E97063">
              <w:rPr>
                <w:rFonts w:asciiTheme="majorHAnsi" w:hAnsiTheme="majorHAnsi"/>
                <w:sz w:val="20"/>
                <w:szCs w:val="20"/>
              </w:rPr>
              <w:t>: SKA 4</w:t>
            </w:r>
            <w:r>
              <w:rPr>
                <w:rFonts w:asciiTheme="majorHAnsi" w:hAnsiTheme="majorHAnsi"/>
                <w:sz w:val="20"/>
                <w:szCs w:val="20"/>
              </w:rPr>
              <w:t>, SKA 16</w:t>
            </w:r>
          </w:p>
          <w:p w:rsidR="001D3D69" w:rsidRPr="00E97063" w:rsidRDefault="001D3D69" w:rsidP="003A7E54">
            <w:pPr>
              <w:rPr>
                <w:rFonts w:asciiTheme="majorHAnsi" w:hAnsiTheme="majorHAnsi"/>
                <w:sz w:val="20"/>
                <w:szCs w:val="20"/>
              </w:rPr>
            </w:pP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420266" w:rsidRPr="00AF5D9D" w:rsidRDefault="00851E54" w:rsidP="00AF5D9D">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7C4390" w:rsidRDefault="007C4390" w:rsidP="007C4390">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7C4390" w:rsidRPr="006F4D01" w:rsidRDefault="007C4390" w:rsidP="00AF5D9D">
      <w:pPr>
        <w:tabs>
          <w:tab w:val="left" w:pos="1418"/>
        </w:tabs>
        <w:spacing w:before="240" w:line="276" w:lineRule="auto"/>
        <w:ind w:left="720"/>
        <w:jc w:val="both"/>
        <w:rPr>
          <w:rFonts w:asciiTheme="majorHAnsi" w:hAnsiTheme="majorHAnsi" w:cs="Times New Roman"/>
          <w:bCs/>
          <w:sz w:val="20"/>
          <w:szCs w:val="20"/>
        </w:rPr>
      </w:pPr>
      <w:r w:rsidRPr="00E55820">
        <w:rPr>
          <w:rFonts w:asciiTheme="majorHAnsi" w:hAnsiTheme="majorHAnsi" w:cs="Times New Roman"/>
          <w:bCs/>
          <w:sz w:val="20"/>
          <w:szCs w:val="20"/>
        </w:rPr>
        <w:lastRenderedPageBreak/>
        <w:t>İç tetkik sürecinin planlanmasına yönelik olarak tetkikçilerle bir araya gelinmiş, sürece ilişkin hususlar görüşülmüş ve yöneltilen sorular cevaplandırılmıştır. Bu kapsamda, kurum içi kalite güvence faaliyetleri doğrultusunda iç tetkikin 09–13 Şubat tarihleri arasında gerçekleştirilmesine karar verilmiştir.</w:t>
      </w:r>
    </w:p>
    <w:p w:rsidR="007C4390" w:rsidRDefault="007C4390" w:rsidP="007C4390">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7C4390" w:rsidRPr="00E55820" w:rsidRDefault="007C4390" w:rsidP="007C4390">
      <w:pPr>
        <w:tabs>
          <w:tab w:val="left" w:pos="1418"/>
        </w:tabs>
        <w:spacing w:before="240" w:line="276" w:lineRule="auto"/>
        <w:jc w:val="both"/>
        <w:rPr>
          <w:rFonts w:asciiTheme="majorHAnsi" w:hAnsiTheme="majorHAnsi" w:cs="Times New Roman"/>
          <w:iCs/>
          <w:sz w:val="20"/>
          <w:szCs w:val="20"/>
        </w:rPr>
      </w:pPr>
      <w:r w:rsidRPr="00E55820">
        <w:rPr>
          <w:rFonts w:asciiTheme="majorHAnsi" w:hAnsiTheme="majorHAnsi" w:cs="Times New Roman"/>
          <w:iCs/>
          <w:sz w:val="20"/>
          <w:szCs w:val="20"/>
        </w:rPr>
        <w:t>Kurumsal kalite yönetim sisteminin etkinliğinin değerlendirilmesi, süreçlerin ilgili standart ve mevzuata uygunluğunun gözden geçirilmesi ve sürekli iyileştirme yaklaşımının güçlendirilmesi amacıyla iç tetkik faaliyetlerinin planlı ve sistematik şekilde yürütülmesi gerekliliği doğmuştur. Bu doğrultuda, tetkik sürecine ilişkin hazırlıkların tamamlanması ve uygulama takviminin netleştirilmesi ihtiyacı ortaya çıkmıştır.</w:t>
      </w:r>
    </w:p>
    <w:p w:rsidR="007C4390" w:rsidRDefault="007C4390" w:rsidP="007C4390">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7C4390" w:rsidRPr="00E55820" w:rsidRDefault="007C4390" w:rsidP="007C4390">
      <w:pPr>
        <w:tabs>
          <w:tab w:val="left" w:pos="1418"/>
        </w:tabs>
        <w:spacing w:before="240" w:line="276" w:lineRule="auto"/>
        <w:jc w:val="both"/>
        <w:rPr>
          <w:rFonts w:ascii="Cambria" w:hAnsi="Cambria" w:cs="Times New Roman"/>
          <w:sz w:val="20"/>
          <w:szCs w:val="20"/>
        </w:rPr>
      </w:pPr>
      <w:r w:rsidRPr="00E55820">
        <w:rPr>
          <w:rFonts w:ascii="Cambria" w:hAnsi="Cambria" w:cs="Times New Roman"/>
          <w:sz w:val="20"/>
          <w:szCs w:val="20"/>
        </w:rPr>
        <w:t>Karar kapsamında, 09–13 Şubat tarihleri arasında gerçekleştirilecek iç tetkik sürecinin belirlenen program doğrultusunda yürütülmesi, tetkikçiler ile ilgili birimler arasında gerekli koordinasyonun sağlanması, tespit edilen bulguların kayıt altına alınması ve sürecin sonunda değerlendirme raporlarının hazırlanarak kalite iyileştirme çalışmalarına girdi oluşturacak şekilde ilgili birimlere iletilmesi öngörülmüştür.</w:t>
      </w:r>
    </w:p>
    <w:p w:rsidR="007C4390" w:rsidRPr="00582A41" w:rsidRDefault="007C4390" w:rsidP="007C4390">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Karar No 2:</w:t>
      </w:r>
    </w:p>
    <w:p w:rsidR="007C4390" w:rsidRPr="00582A41" w:rsidRDefault="007C4390" w:rsidP="007C4390">
      <w:pPr>
        <w:tabs>
          <w:tab w:val="left" w:pos="1418"/>
        </w:tabs>
        <w:spacing w:before="240"/>
        <w:jc w:val="both"/>
        <w:rPr>
          <w:rFonts w:ascii="Cambria" w:hAnsi="Cambria" w:cs="Times New Roman"/>
          <w:sz w:val="20"/>
          <w:szCs w:val="20"/>
        </w:rPr>
      </w:pPr>
      <w:r w:rsidRPr="00582A41">
        <w:rPr>
          <w:rFonts w:ascii="Cambria" w:hAnsi="Cambria" w:cs="Times New Roman"/>
          <w:sz w:val="20"/>
          <w:szCs w:val="20"/>
        </w:rPr>
        <w:t>Birimlerin risk analizlerinin tamamlanarak üniversitenin web sayfasında yayımlanmasına, risk yönetimi sürecinin düzenli olarak izlenmesine ve ihtiyaç duyulması halinde güncellenmesine karar verilmiştir.</w:t>
      </w:r>
    </w:p>
    <w:p w:rsidR="007C4390" w:rsidRPr="00582A41" w:rsidRDefault="007C4390" w:rsidP="007C4390">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p>
    <w:p w:rsidR="007C4390" w:rsidRPr="00582A41" w:rsidRDefault="007C4390" w:rsidP="007C4390">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Kurumsal risklerin sistematik biçimde belirlenmesi, değerlendirilmesi ve şeffaflık ilkesi doğrultusunda kamuoyu ile paylaşılması; olası tehditlerin önceden öngörülerek gerekli tedbirlerin alınması ve kurumsal sürdürülebilirliğin sağlanması açısından önem taşımaktadır. Bu nedenle risk analizlerinin yayımlanması ve sürecin sürekli izlenmesi gerekliliği doğmuştur.</w:t>
      </w:r>
    </w:p>
    <w:p w:rsidR="007C4390" w:rsidRPr="00582A41" w:rsidRDefault="007C4390" w:rsidP="007C4390">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p>
    <w:p w:rsidR="007C4390" w:rsidRDefault="007C4390" w:rsidP="007C4390">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 kapsamında, birimlerce hazırlanan risk analizlerinin kurumsal web sayfasında erişime açılması, risklerin periyodik olarak gözden geçirilmesi, gerçekleşme durumlarının izlenmesi ve değişen koşullar doğrultusunda gerekli revizyonların yapılması; ayrıca risk yönetimi sürecinin kalite güvence sistemi ile entegre şekilde yürütülmesi öngörülmüştür.</w:t>
      </w:r>
    </w:p>
    <w:p w:rsidR="007C4390" w:rsidRPr="00582A41" w:rsidRDefault="007C4390" w:rsidP="007C4390">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 xml:space="preserve">Karar No </w:t>
      </w:r>
      <w:r>
        <w:rPr>
          <w:rFonts w:ascii="Cambria" w:hAnsi="Cambria" w:cs="Times New Roman"/>
          <w:b/>
          <w:bCs/>
          <w:sz w:val="20"/>
          <w:szCs w:val="20"/>
        </w:rPr>
        <w:t>3</w:t>
      </w:r>
      <w:r w:rsidRPr="00582A41">
        <w:rPr>
          <w:rFonts w:ascii="Cambria" w:hAnsi="Cambria" w:cs="Times New Roman"/>
          <w:b/>
          <w:bCs/>
          <w:sz w:val="20"/>
          <w:szCs w:val="20"/>
        </w:rPr>
        <w:t>:</w:t>
      </w:r>
    </w:p>
    <w:p w:rsidR="007C4390" w:rsidRDefault="007C4390" w:rsidP="007C4390">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KİDR (Kurumsal İç Değerlendirme Raporu) sürecinin görüşülmesi sonucunda, ilgili birimlerin rapora esas bölüm ve alt başlıklara ilişkin çalışmalarını 10 Mart tarihine kadar tamamlayarak Kalite Birimine iletmelerine karar verilmiştir.</w:t>
      </w:r>
    </w:p>
    <w:p w:rsidR="007C4390" w:rsidRPr="006F4D01" w:rsidRDefault="007C4390" w:rsidP="007C4390">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Kararın Gerekçesi</w:t>
      </w:r>
    </w:p>
    <w:p w:rsidR="007C4390" w:rsidRPr="006F4D01" w:rsidRDefault="007C4390" w:rsidP="007C4390">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Kurumsal İç Değerlendirme Raporu’nun belirlenen takvim doğrultusunda, eksiksiz ve bütüncül bir şekilde hazırlanabilmesi için birim bazlı katkıların zamanında tamamlanması gerekliliği doğmuştur. Sürecin sağlıklı yürütülmesi ve raporun kurumsal performansı doğru yansıtması açısından koordineli ve planlı çalışma önem arz etmektedir.</w:t>
      </w:r>
    </w:p>
    <w:p w:rsidR="007C4390" w:rsidRPr="006F4D01" w:rsidRDefault="007C4390" w:rsidP="007C4390">
      <w:pPr>
        <w:tabs>
          <w:tab w:val="left" w:pos="1418"/>
        </w:tabs>
        <w:spacing w:before="240"/>
        <w:jc w:val="both"/>
        <w:rPr>
          <w:rFonts w:ascii="Cambria" w:hAnsi="Cambria" w:cs="Times New Roman"/>
          <w:sz w:val="20"/>
          <w:szCs w:val="20"/>
        </w:rPr>
      </w:pPr>
      <w:r w:rsidRPr="006F4D01">
        <w:rPr>
          <w:rFonts w:ascii="Cambria" w:hAnsi="Cambria" w:cs="Times New Roman"/>
          <w:sz w:val="20"/>
          <w:szCs w:val="20"/>
        </w:rPr>
        <w:lastRenderedPageBreak/>
        <w:t>Kararın İçeriği</w:t>
      </w:r>
    </w:p>
    <w:p w:rsidR="007C4390" w:rsidRDefault="007C4390" w:rsidP="007C4390">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 kapsamında, ilgili birimlerin sorumlu oldukları KİDR bölümlerine ilişkin veri toplama, analiz ve raporlama çalışmalarını 10 Mart tarihine kadar tamamlamaları; hazırlanan içeriklerin Kalite Birimine resmi olarak iletilmesi; ardından raporun konsolide edilerek gerekli düzenleme ve kontrollerin yapılması sürecinin başlatılması öngörülmüştür.</w:t>
      </w:r>
    </w:p>
    <w:p w:rsidR="00727802" w:rsidRDefault="00727802" w:rsidP="00727802">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w:t>
      </w:r>
      <w:r w:rsidR="000F6D83">
        <w:rPr>
          <w:rFonts w:asciiTheme="majorHAnsi" w:hAnsiTheme="majorHAnsi" w:cs="Times New Roman"/>
          <w:b/>
          <w:sz w:val="20"/>
          <w:szCs w:val="20"/>
        </w:rPr>
        <w:t>4</w:t>
      </w:r>
      <w:r w:rsidRPr="00D0565D">
        <w:rPr>
          <w:rFonts w:asciiTheme="majorHAnsi" w:hAnsiTheme="majorHAnsi" w:cs="Times New Roman"/>
          <w:b/>
          <w:sz w:val="20"/>
          <w:szCs w:val="20"/>
        </w:rPr>
        <w:t xml:space="preserve">: </w:t>
      </w:r>
    </w:p>
    <w:p w:rsidR="00727802" w:rsidRPr="003851F1" w:rsidRDefault="00727802" w:rsidP="00727802">
      <w:pPr>
        <w:tabs>
          <w:tab w:val="left" w:pos="1418"/>
        </w:tabs>
        <w:spacing w:before="240"/>
        <w:ind w:left="720"/>
        <w:jc w:val="both"/>
        <w:rPr>
          <w:rFonts w:asciiTheme="majorHAnsi" w:hAnsiTheme="majorHAnsi" w:cs="Times New Roman"/>
          <w:b/>
          <w:sz w:val="20"/>
          <w:szCs w:val="20"/>
        </w:rPr>
      </w:pPr>
      <w:r w:rsidRPr="003851F1">
        <w:rPr>
          <w:rFonts w:asciiTheme="majorHAnsi" w:hAnsiTheme="majorHAnsi"/>
          <w:color w:val="000000"/>
          <w:sz w:val="20"/>
          <w:szCs w:val="20"/>
        </w:rPr>
        <w:t>KİDR sürecine yönelik gerekli düzenlemelerin yapılmasına, mevcut kanıtların toparlanmasına ve kapsamlı şekilde gözden geçirilmesine karar verilmiştir.</w:t>
      </w:r>
    </w:p>
    <w:p w:rsidR="00727802" w:rsidRDefault="00727802" w:rsidP="00727802">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Gerekçesi: </w:t>
      </w:r>
    </w:p>
    <w:p w:rsidR="00727802" w:rsidRPr="001E7F7B" w:rsidRDefault="00727802" w:rsidP="00727802">
      <w:pPr>
        <w:tabs>
          <w:tab w:val="left" w:pos="1418"/>
        </w:tabs>
        <w:spacing w:before="240"/>
        <w:jc w:val="both"/>
        <w:rPr>
          <w:rFonts w:ascii="Cambria" w:hAnsi="Cambria" w:cs="Times New Roman"/>
          <w:sz w:val="20"/>
          <w:szCs w:val="20"/>
        </w:rPr>
      </w:pPr>
      <w:r w:rsidRPr="003851F1">
        <w:rPr>
          <w:rFonts w:ascii="Cambria" w:hAnsi="Cambria"/>
          <w:color w:val="000000"/>
          <w:sz w:val="20"/>
          <w:szCs w:val="20"/>
        </w:rPr>
        <w:t>Kurumsal İç Değerlendirme Raporu (KİDR) sürecinde, kalite güvencesi çalışmalarının doğru, eksiksiz ve tutarlı bir şekilde yansıtılabilmesi için mevcut verilerin ve kanıtların sistematik biçimde değerlendirilmesine ihtiyaç duyulmuştur. Dağınık veya güncel olmayan kanıtların raporun bütünlüğünü ve güvenilirliğini olumsuz etkileyebileceği değerlendirilmiş, bu nedenle düzenleme ve gözden geçirme sürecinin yürütülmesi gerekli görülmüştür. Ayrıca, kurumsal performansın daha sağlıklı analiz edilebilmesi ve dış değerlendirme süreçlerine hazırlık amacıyla bu çalışmalar önem arz etmektedir.</w:t>
      </w:r>
    </w:p>
    <w:p w:rsidR="00727802" w:rsidRDefault="00727802" w:rsidP="00727802">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İçeriği: </w:t>
      </w:r>
    </w:p>
    <w:p w:rsidR="00727802" w:rsidRDefault="00727802" w:rsidP="00727802">
      <w:pPr>
        <w:tabs>
          <w:tab w:val="left" w:pos="1418"/>
        </w:tabs>
        <w:spacing w:before="240"/>
        <w:jc w:val="both"/>
        <w:rPr>
          <w:rFonts w:asciiTheme="majorHAnsi" w:hAnsiTheme="majorHAnsi" w:cs="Times New Roman"/>
          <w:sz w:val="20"/>
          <w:szCs w:val="20"/>
        </w:rPr>
      </w:pPr>
      <w:r w:rsidRPr="003851F1">
        <w:rPr>
          <w:rFonts w:asciiTheme="majorHAnsi" w:hAnsiTheme="majorHAnsi"/>
          <w:color w:val="000000"/>
          <w:sz w:val="20"/>
          <w:szCs w:val="20"/>
        </w:rPr>
        <w:t xml:space="preserve">KİDR kapsamında yer alan tüm başlıklar doğrultusunda mevcut kanıtlar ilgili birimler tarafından toplanacak, güncelliği ve uygunluğu açısından incelenecek ve eksiklikler giderilecektir. Gerekli görülen alanlarda düzenlemeler yapılarak kanıtlar sistematik bir yapıya kavuşturulacaktır. Bu süreçte, kalite göstergeleri ile uyumlu, doğrulanabilir ve izlenebilir belgelerin oluşturulmasına özen gösterilecek, raporun bütünlüğünü destekleyecek şekilde içerik güncellemeleri gerçekleştirilecektir. Ayrıca, yapılan çalışmalar sonucunda </w:t>
      </w:r>
      <w:proofErr w:type="spellStart"/>
      <w:r w:rsidRPr="003851F1">
        <w:rPr>
          <w:rFonts w:asciiTheme="majorHAnsi" w:hAnsiTheme="majorHAnsi"/>
          <w:color w:val="000000"/>
          <w:sz w:val="20"/>
          <w:szCs w:val="20"/>
        </w:rPr>
        <w:t>KİDR’in</w:t>
      </w:r>
      <w:proofErr w:type="spellEnd"/>
      <w:r w:rsidRPr="003851F1">
        <w:rPr>
          <w:rFonts w:asciiTheme="majorHAnsi" w:hAnsiTheme="majorHAnsi"/>
          <w:color w:val="000000"/>
          <w:sz w:val="20"/>
          <w:szCs w:val="20"/>
        </w:rPr>
        <w:t xml:space="preserve"> daha güçlü, tutarlı ve değerlendirmeye hazır hale getirilmesi sağlanacaktır.</w:t>
      </w:r>
    </w:p>
    <w:p w:rsidR="00727802" w:rsidRDefault="00727802" w:rsidP="00727802">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w:t>
      </w:r>
      <w:r w:rsidR="000F6D83">
        <w:rPr>
          <w:rFonts w:asciiTheme="majorHAnsi" w:hAnsiTheme="majorHAnsi" w:cs="Times New Roman"/>
          <w:b/>
          <w:sz w:val="20"/>
          <w:szCs w:val="20"/>
        </w:rPr>
        <w:t>5</w:t>
      </w:r>
      <w:r w:rsidRPr="00D0565D">
        <w:rPr>
          <w:rFonts w:asciiTheme="majorHAnsi" w:hAnsiTheme="majorHAnsi" w:cs="Times New Roman"/>
          <w:b/>
          <w:sz w:val="20"/>
          <w:szCs w:val="20"/>
        </w:rPr>
        <w:t xml:space="preserve">: </w:t>
      </w:r>
    </w:p>
    <w:p w:rsidR="00727802" w:rsidRPr="00F130FE" w:rsidRDefault="00727802" w:rsidP="00727802">
      <w:pPr>
        <w:tabs>
          <w:tab w:val="left" w:pos="1418"/>
        </w:tabs>
        <w:spacing w:before="240"/>
        <w:ind w:left="720"/>
        <w:jc w:val="both"/>
        <w:rPr>
          <w:rFonts w:asciiTheme="majorHAnsi" w:hAnsiTheme="majorHAnsi" w:cs="Times New Roman"/>
          <w:sz w:val="20"/>
          <w:szCs w:val="20"/>
        </w:rPr>
      </w:pPr>
      <w:r w:rsidRPr="00F130FE">
        <w:rPr>
          <w:rFonts w:asciiTheme="majorHAnsi" w:hAnsiTheme="majorHAnsi"/>
          <w:color w:val="000000"/>
          <w:sz w:val="20"/>
          <w:szCs w:val="20"/>
        </w:rPr>
        <w:t>YNG-0004 Araştırma ve Geliştirme Koordinatörlüğü Yönergesinin güncellenmesine ve yayımlanarak yürürlüğe alınmasına karar verilmiştir.</w:t>
      </w:r>
    </w:p>
    <w:p w:rsidR="00727802" w:rsidRPr="00727802" w:rsidRDefault="00727802" w:rsidP="00727802">
      <w:pPr>
        <w:tabs>
          <w:tab w:val="left" w:pos="1418"/>
        </w:tabs>
        <w:spacing w:before="240"/>
        <w:jc w:val="both"/>
        <w:rPr>
          <w:rFonts w:asciiTheme="majorHAnsi" w:hAnsiTheme="majorHAnsi" w:cs="Times New Roman"/>
          <w:i/>
          <w:iCs/>
          <w:sz w:val="20"/>
          <w:szCs w:val="20"/>
        </w:rPr>
      </w:pPr>
      <w:r w:rsidRPr="00727802">
        <w:rPr>
          <w:rFonts w:asciiTheme="majorHAnsi" w:hAnsiTheme="majorHAnsi" w:cs="Times New Roman"/>
          <w:i/>
          <w:iCs/>
          <w:sz w:val="20"/>
          <w:szCs w:val="20"/>
        </w:rPr>
        <w:t xml:space="preserve">Kararın Gerekçesi: </w:t>
      </w:r>
    </w:p>
    <w:p w:rsidR="00727802" w:rsidRPr="000B7659" w:rsidRDefault="00727802" w:rsidP="00727802">
      <w:pPr>
        <w:tabs>
          <w:tab w:val="left" w:pos="1418"/>
        </w:tabs>
        <w:spacing w:before="240"/>
        <w:jc w:val="both"/>
        <w:rPr>
          <w:rFonts w:asciiTheme="majorHAnsi" w:hAnsiTheme="majorHAnsi" w:cs="Times New Roman"/>
          <w:sz w:val="20"/>
          <w:szCs w:val="20"/>
        </w:rPr>
      </w:pPr>
      <w:r w:rsidRPr="000B7659">
        <w:rPr>
          <w:rFonts w:asciiTheme="majorHAnsi" w:hAnsiTheme="majorHAnsi"/>
          <w:color w:val="000000"/>
          <w:sz w:val="20"/>
          <w:szCs w:val="20"/>
        </w:rPr>
        <w:t>Üniversitemizde araştırma ve geliştirme faaliyetlerinin daha etkin, sistematik ve sürdürülebilir bir şekilde yürütülmesini sağlamak amacıyla mevcut yönergede güncellemeye ihtiyaç duyulmuştur. Kalite güvencesi çalışmaları kapsamında süreçlerin iyileştirilmesi, uygulamalarda standardizasyonun sağlanması ve kurumsal işleyişin güçlendirilmesi hedeflenmiştir. Ayrıca, şeffaflık ve erişilebilirlik ilkeleri doğrultusunda paydaşların güncel düzenlemelere kolay erişiminin sağlanması gerekliliği ortaya çıkmıştır.</w:t>
      </w:r>
    </w:p>
    <w:p w:rsidR="00727802" w:rsidRPr="00727802" w:rsidRDefault="00727802" w:rsidP="00727802">
      <w:pPr>
        <w:tabs>
          <w:tab w:val="left" w:pos="1418"/>
        </w:tabs>
        <w:spacing w:before="240"/>
        <w:jc w:val="both"/>
        <w:rPr>
          <w:rFonts w:asciiTheme="majorHAnsi" w:hAnsiTheme="majorHAnsi" w:cs="Times New Roman"/>
          <w:i/>
          <w:iCs/>
          <w:sz w:val="20"/>
          <w:szCs w:val="20"/>
        </w:rPr>
      </w:pPr>
      <w:r w:rsidRPr="00727802">
        <w:rPr>
          <w:rFonts w:asciiTheme="majorHAnsi" w:hAnsiTheme="majorHAnsi" w:cs="Times New Roman"/>
          <w:i/>
          <w:iCs/>
          <w:sz w:val="20"/>
          <w:szCs w:val="20"/>
        </w:rPr>
        <w:t xml:space="preserve">Kararın İçeriği: </w:t>
      </w:r>
    </w:p>
    <w:p w:rsidR="00727802" w:rsidRPr="001E7F7B" w:rsidRDefault="00727802" w:rsidP="00727802">
      <w:pPr>
        <w:tabs>
          <w:tab w:val="left" w:pos="1418"/>
        </w:tabs>
        <w:spacing w:before="240" w:after="240"/>
        <w:jc w:val="both"/>
        <w:rPr>
          <w:rStyle w:val="Gl"/>
          <w:rFonts w:asciiTheme="majorHAnsi" w:hAnsiTheme="majorHAnsi" w:cs="Times New Roman"/>
          <w:b w:val="0"/>
          <w:bCs w:val="0"/>
          <w:sz w:val="20"/>
          <w:szCs w:val="20"/>
        </w:rPr>
      </w:pPr>
      <w:r w:rsidRPr="000B7659">
        <w:rPr>
          <w:rFonts w:asciiTheme="majorHAnsi" w:hAnsiTheme="majorHAnsi"/>
          <w:color w:val="000000"/>
          <w:sz w:val="20"/>
          <w:szCs w:val="20"/>
        </w:rPr>
        <w:t>YNG-0004 Araştırma ve Geliştirme Koordinatörlüğü Yönergesi güncellenerek kalite güvencesi yaklaşımıyla uyumlu hale getirilmiştir. Güncellenen yönerge, araştırma ve geliştirme süreçlerinin daha etkin yönetilmesini destekleyecek şekilde düzenlenmiş olup Üniversitemiz kalite sayfasında yayımlanarak tüm paydaşların erişimine sunulmuştur. Bu kapsamda, ilgili süreçlerin uygulanması, izlenmesi ve sürekli iyileştirilmesine yönelik esaslar yeniden yapılandırılmıştır.</w:t>
      </w:r>
    </w:p>
    <w:p w:rsidR="00727802" w:rsidRDefault="00727802" w:rsidP="00727802">
      <w:pPr>
        <w:pStyle w:val="NormalWeb"/>
        <w:spacing w:before="0" w:beforeAutospacing="0" w:after="240" w:afterAutospacing="0"/>
        <w:rPr>
          <w:rFonts w:asciiTheme="majorHAnsi" w:hAnsiTheme="majorHAnsi"/>
          <w:color w:val="000000"/>
          <w:sz w:val="20"/>
          <w:szCs w:val="20"/>
        </w:rPr>
      </w:pPr>
      <w:r w:rsidRPr="004E4183">
        <w:rPr>
          <w:rStyle w:val="Gl"/>
          <w:rFonts w:asciiTheme="majorHAnsi" w:hAnsiTheme="majorHAnsi"/>
          <w:color w:val="000000"/>
          <w:sz w:val="20"/>
          <w:szCs w:val="20"/>
        </w:rPr>
        <w:lastRenderedPageBreak/>
        <w:t xml:space="preserve">Karar No </w:t>
      </w:r>
      <w:r w:rsidR="000F6D83">
        <w:rPr>
          <w:rStyle w:val="Gl"/>
          <w:rFonts w:asciiTheme="majorHAnsi" w:hAnsiTheme="majorHAnsi"/>
          <w:color w:val="000000"/>
          <w:sz w:val="20"/>
          <w:szCs w:val="20"/>
        </w:rPr>
        <w:t>6</w:t>
      </w:r>
      <w:r w:rsidRPr="004E4183">
        <w:rPr>
          <w:rStyle w:val="Gl"/>
          <w:rFonts w:asciiTheme="majorHAnsi" w:hAnsiTheme="majorHAnsi"/>
          <w:color w:val="000000"/>
          <w:sz w:val="20"/>
          <w:szCs w:val="20"/>
        </w:rPr>
        <w:t>:</w:t>
      </w:r>
    </w:p>
    <w:p w:rsidR="00727802" w:rsidRPr="004E4183" w:rsidRDefault="00727802" w:rsidP="00727802">
      <w:pPr>
        <w:pStyle w:val="NormalWeb"/>
        <w:spacing w:before="240" w:beforeAutospacing="0" w:after="240" w:afterAutospacing="0"/>
        <w:ind w:left="720"/>
        <w:rPr>
          <w:rFonts w:asciiTheme="majorHAnsi" w:hAnsiTheme="majorHAnsi"/>
          <w:color w:val="000000"/>
          <w:sz w:val="20"/>
          <w:szCs w:val="20"/>
        </w:rPr>
      </w:pPr>
      <w:r w:rsidRPr="004E4183">
        <w:rPr>
          <w:rFonts w:asciiTheme="majorHAnsi" w:hAnsiTheme="majorHAnsi"/>
          <w:color w:val="000000"/>
          <w:sz w:val="20"/>
          <w:szCs w:val="20"/>
        </w:rPr>
        <w:t>YNG-0010 Bilimsel Yayın ve Faaliyetlerin Desteklenmesi, Araştırma Etkinliklerinde İzin, Yurt İçi/Yurt Dışı Akademik Görevlendirmeler ve Ödül Yönergesinin güncellenmesine ve yayımlanarak yürürlüğe alınmasına karar verilmiştir.</w:t>
      </w:r>
    </w:p>
    <w:p w:rsidR="00727802" w:rsidRPr="00727802" w:rsidRDefault="00727802" w:rsidP="00727802">
      <w:pPr>
        <w:pStyle w:val="NormalWeb"/>
        <w:rPr>
          <w:rStyle w:val="Gl"/>
          <w:rFonts w:asciiTheme="majorHAnsi" w:hAnsiTheme="majorHAnsi"/>
          <w:b w:val="0"/>
          <w:bCs w:val="0"/>
          <w:i/>
          <w:iCs/>
          <w:color w:val="000000"/>
          <w:sz w:val="20"/>
          <w:szCs w:val="20"/>
        </w:rPr>
      </w:pPr>
      <w:r w:rsidRPr="00727802">
        <w:rPr>
          <w:rStyle w:val="Gl"/>
          <w:rFonts w:asciiTheme="majorHAnsi" w:hAnsiTheme="majorHAnsi"/>
          <w:b w:val="0"/>
          <w:bCs w:val="0"/>
          <w:i/>
          <w:iCs/>
          <w:color w:val="000000"/>
          <w:sz w:val="20"/>
          <w:szCs w:val="20"/>
        </w:rPr>
        <w:t>Kararın Gerekçesi:</w:t>
      </w:r>
    </w:p>
    <w:p w:rsidR="00727802" w:rsidRPr="004E4183" w:rsidRDefault="00727802" w:rsidP="00727802">
      <w:pPr>
        <w:pStyle w:val="NormalWeb"/>
        <w:jc w:val="both"/>
        <w:rPr>
          <w:rFonts w:asciiTheme="majorHAnsi" w:hAnsiTheme="majorHAnsi"/>
          <w:i/>
          <w:iCs/>
          <w:color w:val="000000"/>
          <w:sz w:val="20"/>
          <w:szCs w:val="20"/>
        </w:rPr>
      </w:pPr>
      <w:r w:rsidRPr="004E4183">
        <w:rPr>
          <w:rFonts w:asciiTheme="majorHAnsi" w:hAnsiTheme="majorHAnsi"/>
          <w:color w:val="000000"/>
          <w:sz w:val="20"/>
          <w:szCs w:val="20"/>
        </w:rPr>
        <w:t>Üniversitemizde bilimsel üretkenliğin artırılması, akademik faaliyetlerin daha etkin şekilde desteklenmesi ve süreçlerin kalite güvencesi anlayışı doğrultusunda iyileştirilmesi amacıyla mevcut yönergede güncelleme yapılmasına ihtiyaç duyulmuştur. Ayrıca, akademik görevlendirme, izin ve teşvik süreçlerinin daha şeffaf, standart ve sürdürülebilir bir yapıya kavuşturulması hedeflenmiştir. Paydaşların güncel düzenlemelere kolay erişiminin sağlanması da önemli bir gereklilik olarak değerlendirilmiştir.</w:t>
      </w:r>
    </w:p>
    <w:p w:rsidR="00727802" w:rsidRPr="00727802" w:rsidRDefault="00727802" w:rsidP="00727802">
      <w:pPr>
        <w:pStyle w:val="NormalWeb"/>
        <w:rPr>
          <w:rStyle w:val="Gl"/>
          <w:rFonts w:asciiTheme="majorHAnsi" w:hAnsiTheme="majorHAnsi"/>
          <w:b w:val="0"/>
          <w:bCs w:val="0"/>
          <w:i/>
          <w:iCs/>
          <w:color w:val="000000"/>
          <w:sz w:val="20"/>
          <w:szCs w:val="20"/>
        </w:rPr>
      </w:pPr>
      <w:r w:rsidRPr="00727802">
        <w:rPr>
          <w:rStyle w:val="Gl"/>
          <w:rFonts w:asciiTheme="majorHAnsi" w:hAnsiTheme="majorHAnsi"/>
          <w:b w:val="0"/>
          <w:bCs w:val="0"/>
          <w:i/>
          <w:iCs/>
          <w:color w:val="000000"/>
          <w:sz w:val="20"/>
          <w:szCs w:val="20"/>
        </w:rPr>
        <w:t>Kararın İçeriği:</w:t>
      </w:r>
    </w:p>
    <w:p w:rsidR="00431F52" w:rsidRPr="000F6D83" w:rsidRDefault="00727802" w:rsidP="000F6D83">
      <w:pPr>
        <w:pStyle w:val="NormalWeb"/>
        <w:jc w:val="both"/>
        <w:rPr>
          <w:rFonts w:asciiTheme="majorHAnsi" w:hAnsiTheme="majorHAnsi"/>
          <w:color w:val="000000"/>
          <w:sz w:val="20"/>
          <w:szCs w:val="20"/>
        </w:rPr>
      </w:pPr>
      <w:r w:rsidRPr="004E4183">
        <w:rPr>
          <w:rFonts w:asciiTheme="majorHAnsi" w:hAnsiTheme="majorHAnsi"/>
          <w:color w:val="000000"/>
          <w:sz w:val="20"/>
          <w:szCs w:val="20"/>
        </w:rPr>
        <w:t>YNG-0010 yönergesi güncellenerek bilimsel yayın ve faaliyetlerin desteklenmesi, araştırma etkinliklerine katılım süreçleri, yurt içi ve yurt dışı akademik görevlendirmeler ile ödül mekanizmalarına ilişkin esaslar yeniden düzenlenmiştir. Güncellenen yönerge, kalite güvencesi yaklaşımı ile uyumlu hale getirilmiş olup Üniversitemiz kalite sayfasında yayımlanarak tüm paydaşların erişimine sunulmuştur. Bu düzenleme ile akademik faaliyetlerin daha etkin teşvik edilmesi, süreçlerin daha sistematik yürütülmesi ve kurumsal performansın artırılması amaçlanmaktadır.</w:t>
      </w:r>
    </w:p>
    <w:p w:rsidR="00727802" w:rsidRPr="004445C2" w:rsidRDefault="00727802" w:rsidP="0072780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w:t>
      </w:r>
      <w:r w:rsidRPr="004445C2">
        <w:rPr>
          <w:rFonts w:asciiTheme="majorHAnsi" w:hAnsiTheme="majorHAnsi" w:cs="Times New Roman"/>
          <w:b/>
          <w:sz w:val="20"/>
          <w:szCs w:val="20"/>
        </w:rPr>
        <w:t xml:space="preserve"> No </w:t>
      </w:r>
      <w:r w:rsidR="000F6D83">
        <w:rPr>
          <w:rFonts w:asciiTheme="majorHAnsi" w:hAnsiTheme="majorHAnsi" w:cs="Times New Roman"/>
          <w:b/>
          <w:sz w:val="20"/>
          <w:szCs w:val="20"/>
        </w:rPr>
        <w:t>7</w:t>
      </w:r>
      <w:r w:rsidRPr="004445C2">
        <w:rPr>
          <w:rFonts w:asciiTheme="majorHAnsi" w:hAnsiTheme="majorHAnsi" w:cs="Times New Roman"/>
          <w:b/>
          <w:sz w:val="20"/>
          <w:szCs w:val="20"/>
        </w:rPr>
        <w:t xml:space="preserve">: </w:t>
      </w:r>
    </w:p>
    <w:p w:rsidR="00727802" w:rsidRPr="004445C2" w:rsidRDefault="00727802" w:rsidP="000F6D83">
      <w:pPr>
        <w:pStyle w:val="NormalWeb"/>
        <w:ind w:left="720"/>
        <w:rPr>
          <w:rFonts w:asciiTheme="majorHAnsi" w:hAnsiTheme="majorHAnsi"/>
          <w:color w:val="000000"/>
          <w:sz w:val="20"/>
          <w:szCs w:val="20"/>
        </w:rPr>
      </w:pPr>
      <w:r w:rsidRPr="004445C2">
        <w:rPr>
          <w:rFonts w:asciiTheme="majorHAnsi" w:hAnsiTheme="majorHAnsi"/>
          <w:color w:val="000000"/>
          <w:sz w:val="20"/>
          <w:szCs w:val="20"/>
        </w:rPr>
        <w:t>Kalite çalışmaları kapsamında Online İletişim Sisteminde yeni düzenlemeler yapılmasına ve sisteme ek başlıkların entegre edilmesine karar verilmiştir.</w:t>
      </w:r>
    </w:p>
    <w:p w:rsidR="00727802" w:rsidRPr="004445C2" w:rsidRDefault="00727802" w:rsidP="00727802">
      <w:pPr>
        <w:pStyle w:val="NormalWeb"/>
        <w:spacing w:before="240" w:beforeAutospacing="0" w:after="240" w:afterAutospacing="0"/>
        <w:rPr>
          <w:rStyle w:val="Gl"/>
          <w:rFonts w:asciiTheme="majorHAnsi" w:hAnsiTheme="majorHAnsi"/>
          <w:b w:val="0"/>
          <w:bCs w:val="0"/>
          <w:i/>
          <w:iCs/>
          <w:color w:val="000000"/>
          <w:sz w:val="20"/>
          <w:szCs w:val="20"/>
        </w:rPr>
      </w:pPr>
      <w:r w:rsidRPr="004445C2">
        <w:rPr>
          <w:rStyle w:val="Gl"/>
          <w:rFonts w:asciiTheme="majorHAnsi" w:hAnsiTheme="majorHAnsi"/>
          <w:i/>
          <w:iCs/>
          <w:color w:val="000000"/>
          <w:sz w:val="20"/>
          <w:szCs w:val="20"/>
        </w:rPr>
        <w:t>Kararın Gerekçesi:</w:t>
      </w:r>
    </w:p>
    <w:p w:rsidR="00727802" w:rsidRPr="004445C2" w:rsidRDefault="00727802" w:rsidP="00727802">
      <w:pPr>
        <w:pStyle w:val="NormalWeb"/>
        <w:spacing w:before="240" w:beforeAutospacing="0" w:after="240" w:afterAutospacing="0"/>
        <w:rPr>
          <w:rFonts w:asciiTheme="majorHAnsi" w:hAnsiTheme="majorHAnsi"/>
          <w:color w:val="000000"/>
          <w:sz w:val="20"/>
          <w:szCs w:val="20"/>
        </w:rPr>
      </w:pPr>
      <w:r w:rsidRPr="004445C2">
        <w:rPr>
          <w:rFonts w:asciiTheme="majorHAnsi" w:hAnsiTheme="majorHAnsi"/>
          <w:color w:val="000000"/>
          <w:sz w:val="20"/>
          <w:szCs w:val="20"/>
        </w:rPr>
        <w:t>Paydaşlardan gelen talep, öneri ve bildirimlerin mevcut sistemde yeterince detaylı sınıflandırılamaması ve ilgili birimlere yönlendirilmesinde zaman kaybı yaşanması, süreçlerin etkinliğini olumsuz etkilemektedir. Kalite güvencesi anlayışı doğrultusunda, geri bildirimlerin daha sistematik değerlendirilmesi, hizmet süreçlerinin hızlandırılması ve iş sağlığı ve güvenliği kapsamında risklerin erken tespit edilmesi amacıyla sistemde iyileştirme yapılması gerekli görülmüştür.</w:t>
      </w:r>
    </w:p>
    <w:p w:rsidR="00727802" w:rsidRPr="004445C2" w:rsidRDefault="00727802" w:rsidP="00727802">
      <w:pPr>
        <w:pStyle w:val="NormalWeb"/>
        <w:rPr>
          <w:rStyle w:val="Gl"/>
          <w:rFonts w:asciiTheme="majorHAnsi" w:hAnsiTheme="majorHAnsi"/>
          <w:b w:val="0"/>
          <w:bCs w:val="0"/>
          <w:i/>
          <w:iCs/>
          <w:color w:val="000000"/>
          <w:sz w:val="20"/>
          <w:szCs w:val="20"/>
        </w:rPr>
      </w:pPr>
      <w:r w:rsidRPr="004445C2">
        <w:rPr>
          <w:rStyle w:val="Gl"/>
          <w:rFonts w:asciiTheme="majorHAnsi" w:hAnsiTheme="majorHAnsi"/>
          <w:i/>
          <w:iCs/>
          <w:color w:val="000000"/>
          <w:sz w:val="20"/>
          <w:szCs w:val="20"/>
        </w:rPr>
        <w:t>Kararın İçeriği:</w:t>
      </w:r>
    </w:p>
    <w:p w:rsidR="00727802" w:rsidRPr="004445C2" w:rsidRDefault="00727802" w:rsidP="00727802">
      <w:pPr>
        <w:pStyle w:val="NormalWeb"/>
        <w:jc w:val="both"/>
        <w:rPr>
          <w:rFonts w:asciiTheme="majorHAnsi" w:hAnsiTheme="majorHAnsi"/>
          <w:color w:val="000000"/>
          <w:sz w:val="20"/>
          <w:szCs w:val="20"/>
        </w:rPr>
      </w:pPr>
      <w:r w:rsidRPr="004445C2">
        <w:rPr>
          <w:rFonts w:asciiTheme="majorHAnsi" w:hAnsiTheme="majorHAnsi"/>
          <w:color w:val="000000"/>
          <w:sz w:val="20"/>
          <w:szCs w:val="20"/>
        </w:rPr>
        <w:t>Online İletişim Sistemine “Ulaştırma Hizmetleri”, “Kurumsal Arşiv Birimi” ve “Ramak Kala Bildirimi” başlıkları eklenmiştir. Bu düzenleme ile ulaşım hizmetlerine ilişkin taleplerin daha hızlı değerlendirilmesi, kurumsal arşiv süreçlerine yönelik başvuruların etkin şekilde yönetilmesi ve iş sağlığı ve güvenliği kapsamında olası risklerin erken aşamada bildirilerek önleyici tedbirlerin alınması sağlanacaktır. Ayrıca, paydaş geri bildirimlerinin daha sistematik sınıflandırılması ve ilgili birimlere hızlı yönlendirilmesi ile süreçlerin verimliliğinin artırılması hedeflenmektedir.</w:t>
      </w:r>
    </w:p>
    <w:p w:rsidR="003B0E0B" w:rsidRDefault="003B0E0B" w:rsidP="00727802">
      <w:pPr>
        <w:tabs>
          <w:tab w:val="left" w:pos="1418"/>
        </w:tabs>
        <w:spacing w:before="240"/>
        <w:jc w:val="both"/>
        <w:rPr>
          <w:rFonts w:ascii="Cambria" w:hAnsi="Cambria" w:cs="Times New Roman"/>
          <w:b/>
          <w:bCs/>
          <w:sz w:val="20"/>
          <w:szCs w:val="20"/>
        </w:rPr>
      </w:pPr>
    </w:p>
    <w:p w:rsidR="003B0E0B" w:rsidRDefault="003B0E0B" w:rsidP="00727802">
      <w:pPr>
        <w:tabs>
          <w:tab w:val="left" w:pos="1418"/>
        </w:tabs>
        <w:spacing w:before="240"/>
        <w:jc w:val="both"/>
        <w:rPr>
          <w:rFonts w:ascii="Cambria" w:hAnsi="Cambria" w:cs="Times New Roman"/>
          <w:b/>
          <w:bCs/>
          <w:sz w:val="20"/>
          <w:szCs w:val="20"/>
        </w:rPr>
      </w:pPr>
    </w:p>
    <w:p w:rsidR="00727802" w:rsidRPr="00582A41" w:rsidRDefault="00727802" w:rsidP="00727802">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lastRenderedPageBreak/>
        <w:t xml:space="preserve">Karar No </w:t>
      </w:r>
      <w:r w:rsidR="000F6D83">
        <w:rPr>
          <w:rFonts w:ascii="Cambria" w:hAnsi="Cambria" w:cs="Times New Roman"/>
          <w:b/>
          <w:bCs/>
          <w:sz w:val="20"/>
          <w:szCs w:val="20"/>
        </w:rPr>
        <w:t>8</w:t>
      </w:r>
      <w:r w:rsidRPr="00582A41">
        <w:rPr>
          <w:rFonts w:ascii="Cambria" w:hAnsi="Cambria" w:cs="Times New Roman"/>
          <w:b/>
          <w:bCs/>
          <w:sz w:val="20"/>
          <w:szCs w:val="20"/>
        </w:rPr>
        <w:t>:</w:t>
      </w:r>
    </w:p>
    <w:p w:rsidR="00727802" w:rsidRPr="00897F01" w:rsidRDefault="00727802" w:rsidP="00727802">
      <w:pPr>
        <w:pStyle w:val="NormalWeb"/>
        <w:ind w:left="720"/>
        <w:rPr>
          <w:rFonts w:asciiTheme="majorHAnsi" w:hAnsiTheme="majorHAnsi"/>
          <w:color w:val="000000"/>
          <w:sz w:val="20"/>
          <w:szCs w:val="20"/>
        </w:rPr>
      </w:pPr>
      <w:r w:rsidRPr="00897F01">
        <w:rPr>
          <w:rFonts w:asciiTheme="majorHAnsi" w:hAnsiTheme="majorHAnsi"/>
          <w:color w:val="000000"/>
          <w:sz w:val="20"/>
          <w:szCs w:val="20"/>
        </w:rPr>
        <w:t>TS EN ISO 9001:2015 Kalite Yönetim Sistemi kapsamında Yönetim Gözden Geçirme (YGG) toplantısının yapılmasına ve toplantı sonuçları doğrultusunda gerekli iyileştirme ve geliştirme faaliyetlerinin yürütülmesine karar verilmiştir.</w:t>
      </w:r>
    </w:p>
    <w:p w:rsidR="00727802" w:rsidRPr="00897F01" w:rsidRDefault="00727802" w:rsidP="00727802">
      <w:pPr>
        <w:tabs>
          <w:tab w:val="left" w:pos="1418"/>
        </w:tabs>
        <w:spacing w:before="240"/>
        <w:jc w:val="both"/>
        <w:rPr>
          <w:rFonts w:asciiTheme="majorHAnsi" w:hAnsiTheme="majorHAnsi" w:cs="Times New Roman"/>
          <w:sz w:val="20"/>
          <w:szCs w:val="20"/>
        </w:rPr>
      </w:pPr>
      <w:r w:rsidRPr="00897F01">
        <w:rPr>
          <w:rFonts w:asciiTheme="majorHAnsi" w:hAnsiTheme="majorHAnsi" w:cs="Times New Roman"/>
          <w:sz w:val="20"/>
          <w:szCs w:val="20"/>
        </w:rPr>
        <w:t>Kararın Gerekçesi:</w:t>
      </w:r>
    </w:p>
    <w:p w:rsidR="00727802" w:rsidRPr="00897F01" w:rsidRDefault="00727802" w:rsidP="00727802">
      <w:pPr>
        <w:tabs>
          <w:tab w:val="left" w:pos="1418"/>
        </w:tabs>
        <w:spacing w:before="240"/>
        <w:jc w:val="both"/>
        <w:rPr>
          <w:rFonts w:asciiTheme="majorHAnsi" w:hAnsiTheme="majorHAnsi"/>
          <w:color w:val="000000"/>
          <w:sz w:val="20"/>
          <w:szCs w:val="20"/>
        </w:rPr>
      </w:pPr>
      <w:r w:rsidRPr="00897F01">
        <w:rPr>
          <w:rFonts w:asciiTheme="majorHAnsi" w:hAnsiTheme="majorHAnsi"/>
          <w:color w:val="000000"/>
          <w:sz w:val="20"/>
          <w:szCs w:val="20"/>
        </w:rPr>
        <w:t>Kalite yönetim sisteminin etkinliğinin değerlendirilmesi, iç tetkik sonuçlarının analiz edilmesi, performans göstergelerinin izlenmesi ve paydaş geri bildirimlerinin sistematik olarak ele alınması gerekliliği doğrultusunda Yönetim Gözden Geçirme toplantısının yapılması gerekli görülmüştür. Ayrıca, kurumsal süreçlerdeki risk ve fırsatların belirlenmesi, stratejik hedeflerin gözden geçirilmesi ve sürekli iyileştirme yaklaşımının güçlendirilmesi amacıyla üst yönetim düzeyinde değerlendirme yapılması ihtiyaç arz etmektedir.</w:t>
      </w:r>
    </w:p>
    <w:p w:rsidR="00727802" w:rsidRPr="00897F01" w:rsidRDefault="00727802" w:rsidP="00727802">
      <w:pPr>
        <w:tabs>
          <w:tab w:val="left" w:pos="1418"/>
        </w:tabs>
        <w:spacing w:before="240"/>
        <w:jc w:val="both"/>
        <w:rPr>
          <w:rFonts w:asciiTheme="majorHAnsi" w:hAnsiTheme="majorHAnsi" w:cs="Times New Roman"/>
          <w:sz w:val="20"/>
          <w:szCs w:val="20"/>
        </w:rPr>
      </w:pPr>
      <w:r w:rsidRPr="00897F01">
        <w:rPr>
          <w:rFonts w:asciiTheme="majorHAnsi" w:hAnsiTheme="majorHAnsi" w:cs="Times New Roman"/>
          <w:sz w:val="20"/>
          <w:szCs w:val="20"/>
        </w:rPr>
        <w:t>Kararın İçeriği:</w:t>
      </w:r>
    </w:p>
    <w:p w:rsidR="00727802" w:rsidRPr="000F6D83" w:rsidRDefault="00727802" w:rsidP="000F6D83">
      <w:pPr>
        <w:tabs>
          <w:tab w:val="left" w:pos="1418"/>
        </w:tabs>
        <w:spacing w:before="240" w:after="240"/>
        <w:jc w:val="both"/>
        <w:rPr>
          <w:rFonts w:asciiTheme="majorHAnsi" w:hAnsiTheme="majorHAnsi" w:cs="Times New Roman"/>
          <w:b/>
          <w:bCs/>
          <w:sz w:val="20"/>
          <w:szCs w:val="20"/>
        </w:rPr>
      </w:pPr>
      <w:r w:rsidRPr="00897F01">
        <w:rPr>
          <w:rFonts w:asciiTheme="majorHAnsi" w:hAnsiTheme="majorHAnsi"/>
          <w:color w:val="000000"/>
          <w:sz w:val="20"/>
          <w:szCs w:val="20"/>
        </w:rPr>
        <w:t>Yönetim Gözden Geçirme toplantısında; kalite yönetim sisteminin genel performansının değerlendirilmesi, iç tetkik bulgularının incelenmesi, performans göstergelerinin analiz edilmesi, paydaş geri bildirimlerinin ele alınması ve yürütülen iyileştirme faaliyetlerinin gözden geçirilmesi sağlanacaktır. Toplantı kapsamında risk ve fırsatlar analiz edilerek kurumsal performansın artırılmasına yönelik stratejik kararlar alınacak, ilgili birimlere gerekli aksiyonların planlanması ve uygulanmasına yönelik sorumluluklar verilecektir. Bu doğrultuda kalite güvencesi süreçlerinin sürdürülebilirliği sağlanarak sürekli iyileştirme faaliyetlerinin etkin şekilde yürütülmesi hedeflenmektedir.</w:t>
      </w:r>
    </w:p>
    <w:p w:rsidR="00727802" w:rsidRDefault="00727802" w:rsidP="000F6D83">
      <w:pPr>
        <w:tabs>
          <w:tab w:val="left" w:pos="1418"/>
        </w:tabs>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sidR="000F6D83">
        <w:rPr>
          <w:rFonts w:asciiTheme="majorHAnsi" w:hAnsiTheme="majorHAnsi" w:cs="Times New Roman"/>
          <w:b/>
          <w:sz w:val="20"/>
          <w:szCs w:val="20"/>
        </w:rPr>
        <w:t>9</w:t>
      </w:r>
      <w:r w:rsidRPr="001F5300">
        <w:rPr>
          <w:rFonts w:asciiTheme="majorHAnsi" w:hAnsiTheme="majorHAnsi" w:cs="Times New Roman"/>
          <w:b/>
          <w:sz w:val="20"/>
          <w:szCs w:val="20"/>
        </w:rPr>
        <w:t xml:space="preserve">: </w:t>
      </w:r>
    </w:p>
    <w:p w:rsidR="00727802" w:rsidRPr="00171847" w:rsidRDefault="00727802" w:rsidP="00727802">
      <w:pPr>
        <w:tabs>
          <w:tab w:val="left" w:pos="1418"/>
        </w:tabs>
        <w:spacing w:before="240"/>
        <w:ind w:left="720"/>
        <w:jc w:val="both"/>
        <w:rPr>
          <w:rFonts w:asciiTheme="majorHAnsi" w:hAnsiTheme="majorHAnsi" w:cs="Times New Roman"/>
          <w:bCs/>
          <w:sz w:val="20"/>
          <w:szCs w:val="20"/>
        </w:rPr>
      </w:pPr>
      <w:r>
        <w:rPr>
          <w:rFonts w:asciiTheme="majorHAnsi" w:hAnsiTheme="majorHAnsi" w:cs="Times New Roman"/>
          <w:b/>
          <w:sz w:val="20"/>
          <w:szCs w:val="20"/>
        </w:rPr>
        <w:t xml:space="preserve"> </w:t>
      </w:r>
      <w:r w:rsidRPr="00171847">
        <w:rPr>
          <w:rFonts w:asciiTheme="majorHAnsi" w:hAnsiTheme="majorHAnsi" w:cs="Times New Roman"/>
          <w:bCs/>
          <w:sz w:val="20"/>
          <w:szCs w:val="20"/>
        </w:rPr>
        <w:t>Her koo</w:t>
      </w:r>
      <w:r>
        <w:rPr>
          <w:rFonts w:asciiTheme="majorHAnsi" w:hAnsiTheme="majorHAnsi" w:cs="Times New Roman"/>
          <w:bCs/>
          <w:sz w:val="20"/>
          <w:szCs w:val="20"/>
        </w:rPr>
        <w:t>r</w:t>
      </w:r>
      <w:r w:rsidRPr="00171847">
        <w:rPr>
          <w:rFonts w:asciiTheme="majorHAnsi" w:hAnsiTheme="majorHAnsi" w:cs="Times New Roman"/>
          <w:bCs/>
          <w:sz w:val="20"/>
          <w:szCs w:val="20"/>
        </w:rPr>
        <w:t xml:space="preserve">dinatörlüğün kendi bölümünü gözden geçirip gerekli düzenlemeleri yaptıktan sonra sisteme yüklemesine karar verilmiştir. </w:t>
      </w:r>
    </w:p>
    <w:p w:rsidR="00727802" w:rsidRPr="00171847" w:rsidRDefault="00727802" w:rsidP="00727802">
      <w:pPr>
        <w:tabs>
          <w:tab w:val="left" w:pos="1418"/>
        </w:tabs>
        <w:spacing w:before="240" w:after="240" w:line="276" w:lineRule="auto"/>
        <w:jc w:val="both"/>
        <w:rPr>
          <w:rFonts w:ascii="Cambria" w:hAnsi="Cambria"/>
          <w:i/>
          <w:iCs/>
          <w:color w:val="000000"/>
          <w:sz w:val="20"/>
          <w:szCs w:val="20"/>
        </w:rPr>
      </w:pPr>
      <w:r w:rsidRPr="00171847">
        <w:rPr>
          <w:rFonts w:ascii="Cambria" w:hAnsi="Cambria"/>
          <w:i/>
          <w:iCs/>
          <w:color w:val="000000"/>
          <w:sz w:val="20"/>
          <w:szCs w:val="20"/>
        </w:rPr>
        <w:t>Kararın Gerekçesi:</w:t>
      </w:r>
    </w:p>
    <w:p w:rsidR="00727802" w:rsidRPr="00171847" w:rsidRDefault="00727802" w:rsidP="00727802">
      <w:pPr>
        <w:tabs>
          <w:tab w:val="left" w:pos="1418"/>
        </w:tabs>
        <w:spacing w:before="240" w:after="240" w:line="276" w:lineRule="auto"/>
        <w:jc w:val="both"/>
        <w:rPr>
          <w:rFonts w:ascii="Cambria" w:hAnsi="Cambria"/>
          <w:b/>
          <w:bCs/>
          <w:color w:val="000000"/>
          <w:sz w:val="20"/>
          <w:szCs w:val="20"/>
        </w:rPr>
      </w:pPr>
      <w:r w:rsidRPr="00171847">
        <w:rPr>
          <w:rFonts w:ascii="Cambria" w:hAnsi="Cambria"/>
          <w:color w:val="000000"/>
          <w:sz w:val="20"/>
          <w:szCs w:val="20"/>
        </w:rPr>
        <w:t>Her koordinatörlüğün kendi sorumluluk alanına en hâkim birim olması nedeniyle, içeriklerin daha doğru, güncel ve eksiksiz hazırlanmasını sağlamak; böylece KİDR (Kurum İç Değerlendirme Raporu) sürecinde kalite ve tutarlılığı artırmaktır.</w:t>
      </w:r>
      <w:r w:rsidRPr="00171847">
        <w:rPr>
          <w:rStyle w:val="apple-converted-space"/>
          <w:rFonts w:ascii="Cambria" w:hAnsi="Cambria"/>
          <w:color w:val="000000"/>
          <w:sz w:val="20"/>
          <w:szCs w:val="20"/>
        </w:rPr>
        <w:t> </w:t>
      </w:r>
    </w:p>
    <w:p w:rsidR="00727802" w:rsidRPr="002C008B" w:rsidRDefault="00727802" w:rsidP="00727802">
      <w:pPr>
        <w:tabs>
          <w:tab w:val="left" w:pos="1418"/>
        </w:tabs>
        <w:spacing w:before="240" w:after="240" w:line="276" w:lineRule="auto"/>
        <w:jc w:val="both"/>
        <w:rPr>
          <w:rFonts w:ascii="Cambria" w:hAnsi="Cambria"/>
          <w:i/>
          <w:iCs/>
          <w:color w:val="000000"/>
          <w:sz w:val="20"/>
          <w:szCs w:val="20"/>
        </w:rPr>
      </w:pPr>
      <w:r w:rsidRPr="002C008B">
        <w:rPr>
          <w:rFonts w:ascii="Cambria" w:hAnsi="Cambria"/>
          <w:i/>
          <w:iCs/>
          <w:color w:val="000000"/>
          <w:sz w:val="20"/>
          <w:szCs w:val="20"/>
        </w:rPr>
        <w:t>Kararın İçeriği:</w:t>
      </w:r>
    </w:p>
    <w:p w:rsidR="00727802" w:rsidRPr="00171847" w:rsidRDefault="00727802" w:rsidP="00727802">
      <w:pPr>
        <w:tabs>
          <w:tab w:val="left" w:pos="1418"/>
        </w:tabs>
        <w:spacing w:before="240" w:after="240" w:line="276" w:lineRule="auto"/>
        <w:jc w:val="both"/>
        <w:rPr>
          <w:rFonts w:ascii="Cambria" w:hAnsi="Cambria"/>
          <w:b/>
          <w:bCs/>
          <w:color w:val="000000"/>
          <w:sz w:val="20"/>
          <w:szCs w:val="20"/>
        </w:rPr>
      </w:pPr>
      <w:r w:rsidRPr="00171847">
        <w:rPr>
          <w:rFonts w:ascii="Cambria" w:hAnsi="Cambria"/>
          <w:color w:val="000000"/>
          <w:sz w:val="20"/>
          <w:szCs w:val="20"/>
        </w:rPr>
        <w:t>Tüm koordinatörlüklerin kendilerine ait bölümleri detaylı şekilde gözden geçirip gerekli düzeltme ve güncellemeleri yaptıktan sonra, nihai hale getirilen dokümanları KİDR sistemine yüklemeleri yönünde alınmış uygulama kararını ifade etmektedir.</w:t>
      </w:r>
    </w:p>
    <w:p w:rsidR="00727802" w:rsidRDefault="00727802" w:rsidP="0072780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sidR="000F6D83">
        <w:rPr>
          <w:rFonts w:asciiTheme="majorHAnsi" w:hAnsiTheme="majorHAnsi" w:cs="Times New Roman"/>
          <w:b/>
          <w:sz w:val="20"/>
          <w:szCs w:val="20"/>
        </w:rPr>
        <w:t>10</w:t>
      </w:r>
      <w:r w:rsidRPr="001F5300">
        <w:rPr>
          <w:rFonts w:asciiTheme="majorHAnsi" w:hAnsiTheme="majorHAnsi" w:cs="Times New Roman"/>
          <w:b/>
          <w:sz w:val="20"/>
          <w:szCs w:val="20"/>
        </w:rPr>
        <w:t xml:space="preserve">: </w:t>
      </w:r>
    </w:p>
    <w:p w:rsidR="00727802" w:rsidRPr="00581D29" w:rsidRDefault="00727802" w:rsidP="00727802">
      <w:pPr>
        <w:tabs>
          <w:tab w:val="left" w:pos="1418"/>
        </w:tabs>
        <w:spacing w:before="240" w:after="240" w:line="276" w:lineRule="auto"/>
        <w:ind w:left="720"/>
        <w:jc w:val="both"/>
        <w:rPr>
          <w:rFonts w:asciiTheme="majorHAnsi" w:hAnsiTheme="majorHAnsi" w:cs="Times New Roman"/>
          <w:bCs/>
          <w:sz w:val="20"/>
          <w:szCs w:val="20"/>
        </w:rPr>
      </w:pPr>
      <w:r w:rsidRPr="00581D29">
        <w:rPr>
          <w:rFonts w:asciiTheme="majorHAnsi" w:hAnsiTheme="majorHAnsi"/>
          <w:color w:val="000000"/>
          <w:sz w:val="20"/>
          <w:szCs w:val="20"/>
        </w:rPr>
        <w:t>Üniversitemizin Su Ayak İzi Doğrulama Sertifikası almaya hak kazanmasına yönelik elde edilen başarının sürdürülmesine ve geliştirilmesine yönelik çalışmaların devam ettirilmesine karar verilmiştir.</w:t>
      </w:r>
    </w:p>
    <w:p w:rsidR="00727802" w:rsidRPr="00171847" w:rsidRDefault="00727802" w:rsidP="00727802">
      <w:pPr>
        <w:tabs>
          <w:tab w:val="left" w:pos="1418"/>
        </w:tabs>
        <w:spacing w:before="240" w:after="240" w:line="276" w:lineRule="auto"/>
        <w:jc w:val="both"/>
        <w:rPr>
          <w:rFonts w:ascii="Cambria" w:hAnsi="Cambria"/>
          <w:i/>
          <w:iCs/>
          <w:color w:val="000000"/>
          <w:sz w:val="20"/>
          <w:szCs w:val="20"/>
        </w:rPr>
      </w:pPr>
      <w:r w:rsidRPr="00171847">
        <w:rPr>
          <w:rFonts w:ascii="Cambria" w:hAnsi="Cambria"/>
          <w:i/>
          <w:iCs/>
          <w:color w:val="000000"/>
          <w:sz w:val="20"/>
          <w:szCs w:val="20"/>
        </w:rPr>
        <w:t>Kararın Gerekçesi:</w:t>
      </w:r>
    </w:p>
    <w:p w:rsidR="00727802" w:rsidRPr="00581D29" w:rsidRDefault="00727802" w:rsidP="00727802">
      <w:pPr>
        <w:tabs>
          <w:tab w:val="left" w:pos="1418"/>
        </w:tabs>
        <w:spacing w:before="240" w:after="240" w:line="276" w:lineRule="auto"/>
        <w:jc w:val="both"/>
        <w:rPr>
          <w:rFonts w:asciiTheme="majorHAnsi" w:hAnsiTheme="majorHAnsi"/>
          <w:color w:val="000000"/>
          <w:sz w:val="20"/>
          <w:szCs w:val="20"/>
        </w:rPr>
      </w:pPr>
      <w:r w:rsidRPr="00581D29">
        <w:rPr>
          <w:rFonts w:asciiTheme="majorHAnsi" w:hAnsiTheme="majorHAnsi"/>
          <w:color w:val="000000"/>
          <w:sz w:val="20"/>
          <w:szCs w:val="20"/>
        </w:rPr>
        <w:lastRenderedPageBreak/>
        <w:t>Sürdürülebilirlik ve çevresel sorumluluk kapsamında yürütülen su yönetimi çalışmalarının başarılı sonuçlar vermesi ve uluslararası standartlara uygun şekilde doğrulanması, bu alandaki uygulamaların etkinliğini ortaya koymuştur. Elde edilen başarının korunması ve geliştirilmesi amacıyla mevcut çalışmaların devam ettirilmesi gerekli görülmüştür.</w:t>
      </w:r>
    </w:p>
    <w:p w:rsidR="00727802" w:rsidRPr="003204C1" w:rsidRDefault="00727802" w:rsidP="00727802">
      <w:pPr>
        <w:tabs>
          <w:tab w:val="left" w:pos="1418"/>
        </w:tabs>
        <w:spacing w:before="240" w:after="240" w:line="276" w:lineRule="auto"/>
        <w:jc w:val="both"/>
        <w:rPr>
          <w:rFonts w:ascii="Cambria" w:hAnsi="Cambria"/>
          <w:i/>
          <w:iCs/>
          <w:color w:val="000000"/>
          <w:sz w:val="20"/>
          <w:szCs w:val="20"/>
        </w:rPr>
      </w:pPr>
      <w:r w:rsidRPr="003204C1">
        <w:rPr>
          <w:rFonts w:ascii="Cambria" w:hAnsi="Cambria"/>
          <w:i/>
          <w:iCs/>
          <w:color w:val="000000"/>
          <w:sz w:val="20"/>
          <w:szCs w:val="20"/>
        </w:rPr>
        <w:t>Kararın İçeriği:</w:t>
      </w:r>
    </w:p>
    <w:p w:rsidR="00727802" w:rsidRPr="00581D29" w:rsidRDefault="00727802" w:rsidP="00727802">
      <w:pPr>
        <w:jc w:val="both"/>
        <w:rPr>
          <w:rFonts w:asciiTheme="majorHAnsi" w:hAnsiTheme="majorHAnsi"/>
          <w:color w:val="000000"/>
          <w:sz w:val="20"/>
          <w:szCs w:val="20"/>
        </w:rPr>
      </w:pPr>
      <w:r w:rsidRPr="00581D29">
        <w:rPr>
          <w:rFonts w:asciiTheme="majorHAnsi" w:hAnsiTheme="majorHAnsi"/>
          <w:color w:val="000000"/>
          <w:sz w:val="20"/>
          <w:szCs w:val="20"/>
        </w:rPr>
        <w:t>Su tüketimi ve yönetimine ilişkin uygulamaların izlenmeye ve iyileştirilmeye devam edilmesi, sürdürülebilirlik politikaları doğrultusunda yeni hedeflerin belirlenmesi ve çevresel etkilerin azaltılmasına yönelik faaliyetlerin sürdürülmesi sağlanacaktır. Ayrıca, elde edilen sertifikanın kurumsal gelişime katkı sağlayacak şekilde değerlendirilmesi ve ilgili süreçlerin sürekli iyileştirme yaklaşımı ile yürütülmesi hedeflenmektedir.</w:t>
      </w:r>
    </w:p>
    <w:p w:rsidR="00727802" w:rsidRDefault="00727802" w:rsidP="00727802">
      <w:pPr>
        <w:jc w:val="both"/>
        <w:rPr>
          <w:rFonts w:ascii="Cambria" w:hAnsi="Cambria"/>
          <w:color w:val="000000"/>
          <w:sz w:val="20"/>
          <w:szCs w:val="20"/>
        </w:rPr>
      </w:pPr>
    </w:p>
    <w:p w:rsidR="00727802" w:rsidRDefault="00727802" w:rsidP="00727802">
      <w:pPr>
        <w:jc w:val="both"/>
        <w:rPr>
          <w:rFonts w:asciiTheme="majorHAnsi" w:hAnsiTheme="majorHAnsi" w:cs="Times New Roman"/>
          <w:b/>
          <w:sz w:val="20"/>
          <w:szCs w:val="20"/>
        </w:rPr>
      </w:pPr>
      <w:r>
        <w:rPr>
          <w:rFonts w:asciiTheme="majorHAnsi" w:hAnsiTheme="majorHAnsi" w:cs="Times New Roman"/>
          <w:b/>
          <w:sz w:val="20"/>
          <w:szCs w:val="20"/>
        </w:rPr>
        <w:t xml:space="preserve">Karar No </w:t>
      </w:r>
      <w:r w:rsidR="000F6D83">
        <w:rPr>
          <w:rFonts w:asciiTheme="majorHAnsi" w:hAnsiTheme="majorHAnsi" w:cs="Times New Roman"/>
          <w:b/>
          <w:sz w:val="20"/>
          <w:szCs w:val="20"/>
        </w:rPr>
        <w:t>11</w:t>
      </w:r>
      <w:r>
        <w:rPr>
          <w:rFonts w:asciiTheme="majorHAnsi" w:hAnsiTheme="majorHAnsi" w:cs="Times New Roman"/>
          <w:b/>
          <w:sz w:val="20"/>
          <w:szCs w:val="20"/>
        </w:rPr>
        <w:t>:</w:t>
      </w:r>
    </w:p>
    <w:p w:rsidR="00727802" w:rsidRDefault="00727802" w:rsidP="00727802">
      <w:pPr>
        <w:jc w:val="both"/>
        <w:rPr>
          <w:rFonts w:asciiTheme="majorHAnsi" w:hAnsiTheme="majorHAnsi" w:cs="Times New Roman"/>
          <w:b/>
          <w:sz w:val="20"/>
          <w:szCs w:val="20"/>
        </w:rPr>
      </w:pPr>
    </w:p>
    <w:p w:rsidR="00727802" w:rsidRPr="00005FEE" w:rsidRDefault="00727802" w:rsidP="00727802">
      <w:pPr>
        <w:ind w:left="720"/>
        <w:jc w:val="both"/>
        <w:rPr>
          <w:rFonts w:asciiTheme="majorHAnsi" w:hAnsiTheme="majorHAnsi"/>
          <w:color w:val="000000"/>
          <w:sz w:val="20"/>
          <w:szCs w:val="20"/>
        </w:rPr>
      </w:pPr>
      <w:r w:rsidRPr="00005FEE">
        <w:rPr>
          <w:rFonts w:asciiTheme="majorHAnsi" w:hAnsiTheme="majorHAnsi"/>
          <w:color w:val="000000"/>
          <w:sz w:val="20"/>
          <w:szCs w:val="20"/>
        </w:rPr>
        <w:t xml:space="preserve">Çağ Üniversitesi Senatosu tarafından kabul edilen </w:t>
      </w:r>
      <w:r>
        <w:rPr>
          <w:rFonts w:asciiTheme="majorHAnsi" w:hAnsiTheme="majorHAnsi"/>
          <w:color w:val="000000"/>
          <w:sz w:val="20"/>
          <w:szCs w:val="20"/>
        </w:rPr>
        <w:t xml:space="preserve">YNG-0011 </w:t>
      </w:r>
      <w:r w:rsidRPr="00005FEE">
        <w:rPr>
          <w:rFonts w:asciiTheme="majorHAnsi" w:hAnsiTheme="majorHAnsi"/>
          <w:color w:val="000000"/>
          <w:sz w:val="20"/>
          <w:szCs w:val="20"/>
        </w:rPr>
        <w:t>Trafik Hizmetleri Yönergesinin yürürlüğe alınmasına ve kampüs genelinde uygulanmasına karar verilmiştir.</w:t>
      </w:r>
    </w:p>
    <w:p w:rsidR="00727802" w:rsidRPr="00005FEE" w:rsidRDefault="00727802" w:rsidP="00727802">
      <w:pPr>
        <w:tabs>
          <w:tab w:val="left" w:pos="1418"/>
        </w:tabs>
        <w:spacing w:before="240" w:after="240" w:line="276" w:lineRule="auto"/>
        <w:jc w:val="both"/>
        <w:rPr>
          <w:rFonts w:asciiTheme="majorHAnsi" w:hAnsiTheme="majorHAnsi"/>
          <w:i/>
          <w:iCs/>
          <w:color w:val="000000"/>
          <w:sz w:val="20"/>
          <w:szCs w:val="20"/>
        </w:rPr>
      </w:pPr>
      <w:r w:rsidRPr="00005FEE">
        <w:rPr>
          <w:rFonts w:asciiTheme="majorHAnsi" w:hAnsiTheme="majorHAnsi"/>
          <w:i/>
          <w:iCs/>
          <w:color w:val="000000"/>
          <w:sz w:val="20"/>
          <w:szCs w:val="20"/>
        </w:rPr>
        <w:t>Kararın Gerekçesi:</w:t>
      </w:r>
    </w:p>
    <w:p w:rsidR="00727802" w:rsidRPr="00005FEE" w:rsidRDefault="00727802" w:rsidP="00727802">
      <w:pPr>
        <w:jc w:val="both"/>
        <w:rPr>
          <w:rFonts w:asciiTheme="majorHAnsi" w:hAnsiTheme="majorHAnsi"/>
          <w:color w:val="000000"/>
          <w:sz w:val="20"/>
          <w:szCs w:val="20"/>
        </w:rPr>
      </w:pPr>
      <w:r w:rsidRPr="00005FEE">
        <w:rPr>
          <w:rFonts w:asciiTheme="majorHAnsi" w:hAnsiTheme="majorHAnsi"/>
          <w:color w:val="000000"/>
          <w:sz w:val="20"/>
          <w:szCs w:val="20"/>
        </w:rPr>
        <w:t>Kampüs içi trafik düzeninin sağlanması, güvenliğin artırılması ve sunulan hizmetlerin daha etkin ve standart bir yapıya kavuşturulması amacıyla trafik hizmetlerine ilişkin süreçlerin düzenlenmesine ihtiyaç duyulmuştur. Bu doğrultuda, mevcut uygulamaların iyileştirilmesi ve sürdürülebilir bir trafik yönetim sisteminin oluşturulması gerekli görülmüştür.</w:t>
      </w:r>
    </w:p>
    <w:p w:rsidR="00727802" w:rsidRPr="00005FEE" w:rsidRDefault="00727802" w:rsidP="00727802">
      <w:pPr>
        <w:tabs>
          <w:tab w:val="left" w:pos="1418"/>
        </w:tabs>
        <w:spacing w:before="240" w:after="240" w:line="276" w:lineRule="auto"/>
        <w:jc w:val="both"/>
        <w:rPr>
          <w:rFonts w:asciiTheme="majorHAnsi" w:hAnsiTheme="majorHAnsi"/>
          <w:i/>
          <w:iCs/>
          <w:color w:val="000000"/>
          <w:sz w:val="20"/>
          <w:szCs w:val="20"/>
        </w:rPr>
      </w:pPr>
      <w:r w:rsidRPr="00005FEE">
        <w:rPr>
          <w:rFonts w:asciiTheme="majorHAnsi" w:hAnsiTheme="majorHAnsi"/>
          <w:i/>
          <w:iCs/>
          <w:color w:val="000000"/>
          <w:sz w:val="20"/>
          <w:szCs w:val="20"/>
        </w:rPr>
        <w:t>Kararın İçeriği:</w:t>
      </w:r>
    </w:p>
    <w:p w:rsidR="00727802" w:rsidRPr="00005FEE" w:rsidRDefault="00727802" w:rsidP="00727802">
      <w:pPr>
        <w:jc w:val="both"/>
        <w:rPr>
          <w:rFonts w:asciiTheme="majorHAnsi" w:hAnsiTheme="majorHAnsi" w:cs="Times New Roman"/>
          <w:bCs/>
          <w:sz w:val="20"/>
          <w:szCs w:val="20"/>
        </w:rPr>
      </w:pPr>
      <w:r w:rsidRPr="00005FEE">
        <w:rPr>
          <w:rFonts w:asciiTheme="majorHAnsi" w:hAnsiTheme="majorHAnsi"/>
          <w:color w:val="000000"/>
          <w:sz w:val="20"/>
          <w:szCs w:val="20"/>
        </w:rPr>
        <w:t>Trafik Hizmetleri Yönergesi yürürlüğe alınarak kampüs içi trafik düzenine ilişkin kurallar, uygulamalar ve sorumluluklar belirlenmiştir. Bu kapsamda, trafik akışının düzenlenmesi, güvenlik önlemlerinin artırılması ve hizmet kalitesinin yükseltilmesine yönelik uygulamalar hayata geçirilecektir. Ayrıca, yönerge hükümlerinin ilgili birimler tarafından uygulanması ve sürecin izlenerek gerekli iyileştirmelerin yapılması sağlanacaktır.</w:t>
      </w:r>
    </w:p>
    <w:p w:rsidR="00420266" w:rsidRDefault="00420266"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591A71" w:rsidRDefault="00591A71"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AF5D9D" w:rsidRDefault="00AF5D9D"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lastRenderedPageBreak/>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8D7F44" w:rsidTr="000E0D64">
        <w:trPr>
          <w:jc w:val="center"/>
        </w:trPr>
        <w:tc>
          <w:tcPr>
            <w:tcW w:w="1928"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611"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72"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c>
          <w:tcPr>
            <w:tcW w:w="177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86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96"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 </w:t>
            </w:r>
            <w:r w:rsidR="000E0D64" w:rsidRPr="008D7F44">
              <w:rPr>
                <w:rFonts w:asciiTheme="majorHAnsi" w:hAnsiTheme="majorHAnsi" w:cs="Arial"/>
                <w:color w:val="292B2C"/>
                <w:sz w:val="20"/>
                <w:szCs w:val="20"/>
              </w:rPr>
              <w:t>Prof. Dr. Murat KOÇ</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Rektör, Komisyon Başkanı</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8. </w:t>
            </w:r>
            <w:r w:rsidR="000E0D64" w:rsidRPr="008D7F44">
              <w:rPr>
                <w:rFonts w:asciiTheme="majorHAnsi" w:hAnsiTheme="majorHAnsi" w:cs="Arial"/>
                <w:color w:val="292B2C"/>
                <w:sz w:val="20"/>
                <w:szCs w:val="20"/>
              </w:rPr>
              <w:t>Dr. Öğr. Üyesi Duygu GÜR</w:t>
            </w:r>
          </w:p>
        </w:tc>
        <w:tc>
          <w:tcPr>
            <w:tcW w:w="1863" w:type="dxa"/>
            <w:vAlign w:val="center"/>
          </w:tcPr>
          <w:p w:rsidR="007D3C81" w:rsidRPr="008D7F44" w:rsidRDefault="000E0D64" w:rsidP="000E0D64">
            <w:pPr>
              <w:pStyle w:val="NormalWeb"/>
              <w:spacing w:before="0" w:beforeAutospacing="0"/>
              <w:rPr>
                <w:rFonts w:asciiTheme="majorHAnsi" w:hAnsiTheme="majorHAnsi" w:cs="Arial"/>
                <w:color w:val="292B2C"/>
                <w:sz w:val="20"/>
                <w:szCs w:val="20"/>
              </w:rPr>
            </w:pPr>
            <w:r w:rsidRPr="008D7F44">
              <w:rPr>
                <w:rFonts w:asciiTheme="majorHAnsi" w:hAnsiTheme="majorHAnsi" w:cs="Arial"/>
                <w:color w:val="292B2C"/>
                <w:sz w:val="20"/>
                <w:szCs w:val="20"/>
              </w:rPr>
              <w:t>Kalite Yönetimi Koordinatör Yardımcısı</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2. </w:t>
            </w:r>
            <w:r w:rsidR="000E0D64" w:rsidRPr="008D7F44">
              <w:rPr>
                <w:rFonts w:asciiTheme="majorHAnsi" w:hAnsiTheme="majorHAnsi" w:cs="Arial"/>
                <w:color w:val="292B2C"/>
                <w:sz w:val="20"/>
                <w:szCs w:val="20"/>
              </w:rPr>
              <w:t>Prof. Dr. Mahir FİSUNOĞLU</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Kaliteden Sorumlu Rektör Yardımcısı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9. </w:t>
            </w:r>
            <w:r w:rsidR="000E0D64" w:rsidRPr="008D7F44">
              <w:rPr>
                <w:rFonts w:asciiTheme="majorHAnsi" w:hAnsiTheme="majorHAnsi" w:cs="Arial"/>
                <w:color w:val="292B2C"/>
                <w:sz w:val="20"/>
                <w:szCs w:val="20"/>
              </w:rPr>
              <w:t>Dr. Öğr. Üyesi Süreyya YILMAZ ÖZEKENCİ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3. </w:t>
            </w:r>
            <w:r w:rsidR="000E0D64" w:rsidRPr="008D7F44">
              <w:rPr>
                <w:rFonts w:asciiTheme="majorHAnsi" w:hAnsiTheme="majorHAnsi" w:cs="Arial"/>
                <w:color w:val="292B2C"/>
                <w:sz w:val="20"/>
                <w:szCs w:val="20"/>
              </w:rPr>
              <w:t>Doç. Dr. Şenol KANDEMİR</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 Yönetimi Koordinatörü, Genel Sekreter</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10. </w:t>
            </w:r>
            <w:r w:rsidR="000E0D64" w:rsidRPr="008D7F44">
              <w:rPr>
                <w:rFonts w:asciiTheme="majorHAnsi" w:hAnsiTheme="majorHAnsi" w:cs="Arial"/>
                <w:color w:val="292B2C"/>
                <w:sz w:val="20"/>
                <w:szCs w:val="20"/>
              </w:rPr>
              <w:t>Dr. Öğr. Üyesi Seyfettin ÖZDEMİREL</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Fen Edebiyat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4. </w:t>
            </w:r>
            <w:r w:rsidR="000E0D64" w:rsidRPr="008D7F44">
              <w:rPr>
                <w:rFonts w:asciiTheme="majorHAnsi" w:hAnsiTheme="majorHAnsi" w:cs="Arial"/>
                <w:color w:val="292B2C"/>
                <w:sz w:val="20"/>
                <w:szCs w:val="20"/>
              </w:rPr>
              <w:t>Prof. Dr. Eda YAŞA ÖZELTÜRKAY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Araştırma Geliştirme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11. </w:t>
            </w:r>
            <w:r w:rsidR="000E0D64" w:rsidRPr="008D7F44">
              <w:rPr>
                <w:rFonts w:asciiTheme="majorHAnsi" w:hAnsiTheme="majorHAnsi" w:cs="Arial"/>
                <w:color w:val="292B2C"/>
                <w:sz w:val="20"/>
                <w:szCs w:val="20"/>
              </w:rPr>
              <w:t>Dr. Öğr. Üyesi Yunus Anıl AY</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Hukuk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5. </w:t>
            </w:r>
            <w:r w:rsidR="000E0D64" w:rsidRPr="008D7F44">
              <w:rPr>
                <w:rFonts w:asciiTheme="majorHAnsi" w:hAnsiTheme="majorHAnsi" w:cs="Arial"/>
                <w:color w:val="292B2C"/>
                <w:sz w:val="20"/>
                <w:szCs w:val="20"/>
              </w:rPr>
              <w:t>Dr. Öğr. Üyesi Gürcan DEMİROGLARI</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Eğitim Öğretim Koordinatörü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12. </w:t>
            </w:r>
            <w:r w:rsidR="000E0D64" w:rsidRPr="008D7F44">
              <w:rPr>
                <w:rFonts w:asciiTheme="majorHAnsi" w:hAnsiTheme="majorHAnsi" w:cs="Arial"/>
                <w:color w:val="292B2C"/>
                <w:sz w:val="20"/>
                <w:szCs w:val="20"/>
              </w:rPr>
              <w:t>Öğr. Gör. Oğuzhan ÇAVUŞOĞLU</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53"/>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6. </w:t>
            </w:r>
            <w:r w:rsidR="000E0D64" w:rsidRPr="008D7F44">
              <w:rPr>
                <w:rFonts w:asciiTheme="majorHAnsi" w:hAnsiTheme="majorHAnsi" w:cs="Arial"/>
                <w:color w:val="292B2C"/>
                <w:sz w:val="20"/>
                <w:szCs w:val="20"/>
              </w:rPr>
              <w:t xml:space="preserve">Dr. Öğr. Üyesi </w:t>
            </w:r>
            <w:proofErr w:type="gramStart"/>
            <w:r w:rsidR="000E0D64" w:rsidRPr="008D7F44">
              <w:rPr>
                <w:rFonts w:asciiTheme="majorHAnsi" w:hAnsiTheme="majorHAnsi" w:cs="Arial"/>
                <w:color w:val="292B2C"/>
                <w:sz w:val="20"/>
                <w:szCs w:val="20"/>
              </w:rPr>
              <w:t>Semiha</w:t>
            </w:r>
            <w:proofErr w:type="gramEnd"/>
            <w:r w:rsidR="000E0D64" w:rsidRPr="008D7F44">
              <w:rPr>
                <w:rFonts w:asciiTheme="majorHAnsi" w:hAnsiTheme="majorHAnsi" w:cs="Arial"/>
                <w:color w:val="292B2C"/>
                <w:sz w:val="20"/>
                <w:szCs w:val="20"/>
              </w:rPr>
              <w:t xml:space="preserve"> GÜRSOY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Müdürü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13. </w:t>
            </w:r>
            <w:r w:rsidR="000E0D64" w:rsidRPr="008D7F44">
              <w:rPr>
                <w:rFonts w:asciiTheme="majorHAnsi" w:hAnsiTheme="majorHAnsi" w:cs="Arial"/>
                <w:color w:val="292B2C"/>
                <w:sz w:val="20"/>
                <w:szCs w:val="20"/>
              </w:rPr>
              <w:t>Öğr. Gör. Tuğçe KANDİLCİ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667"/>
          <w:jc w:val="center"/>
        </w:trPr>
        <w:tc>
          <w:tcPr>
            <w:tcW w:w="1928" w:type="dxa"/>
            <w:vAlign w:val="center"/>
          </w:tcPr>
          <w:p w:rsidR="007D3C81" w:rsidRPr="008D7F44" w:rsidRDefault="007D3C81" w:rsidP="000E0D64">
            <w:pPr>
              <w:pStyle w:val="AralkYok"/>
              <w:spacing w:after="240"/>
              <w:rPr>
                <w:rFonts w:asciiTheme="majorHAnsi" w:hAnsiTheme="majorHAnsi"/>
                <w:sz w:val="20"/>
                <w:szCs w:val="20"/>
              </w:rPr>
            </w:pPr>
            <w:r w:rsidRPr="008D7F44">
              <w:rPr>
                <w:rFonts w:asciiTheme="majorHAnsi" w:hAnsiTheme="majorHAnsi"/>
                <w:sz w:val="20"/>
                <w:szCs w:val="20"/>
              </w:rPr>
              <w:t xml:space="preserve">7. </w:t>
            </w:r>
            <w:r w:rsidR="000E0D64" w:rsidRPr="008D7F44">
              <w:rPr>
                <w:rFonts w:asciiTheme="majorHAnsi" w:hAnsiTheme="majorHAnsi"/>
                <w:sz w:val="20"/>
                <w:szCs w:val="20"/>
              </w:rPr>
              <w:t xml:space="preserve">Doç. </w:t>
            </w:r>
            <w:r w:rsidR="000E0D64" w:rsidRPr="008D7F44">
              <w:rPr>
                <w:rFonts w:asciiTheme="majorHAnsi" w:hAnsiTheme="majorHAnsi" w:cs="Arial"/>
                <w:color w:val="292B2C"/>
                <w:sz w:val="20"/>
                <w:szCs w:val="20"/>
              </w:rPr>
              <w:t xml:space="preserve">Dr. Emre </w:t>
            </w:r>
            <w:r w:rsidR="00821AE9">
              <w:rPr>
                <w:rFonts w:asciiTheme="majorHAnsi" w:hAnsiTheme="majorHAnsi" w:cs="Arial"/>
                <w:color w:val="292B2C"/>
                <w:sz w:val="20"/>
                <w:szCs w:val="20"/>
              </w:rPr>
              <w:t xml:space="preserve">Kadir </w:t>
            </w:r>
            <w:r w:rsidR="000E0D64" w:rsidRPr="008D7F44">
              <w:rPr>
                <w:rFonts w:asciiTheme="majorHAnsi" w:hAnsiTheme="majorHAnsi" w:cs="Arial"/>
                <w:color w:val="292B2C"/>
                <w:sz w:val="20"/>
                <w:szCs w:val="20"/>
              </w:rPr>
              <w:t>ÖZEKENCİ</w:t>
            </w:r>
          </w:p>
        </w:tc>
        <w:tc>
          <w:tcPr>
            <w:tcW w:w="1611" w:type="dxa"/>
            <w:vAlign w:val="center"/>
          </w:tcPr>
          <w:p w:rsidR="007D3C81" w:rsidRPr="008D7F44" w:rsidRDefault="000E0D64" w:rsidP="000E0D64">
            <w:pPr>
              <w:pStyle w:val="AralkYok"/>
              <w:spacing w:after="240"/>
              <w:rPr>
                <w:rFonts w:asciiTheme="majorHAnsi" w:hAnsiTheme="majorHAnsi"/>
                <w:sz w:val="20"/>
                <w:szCs w:val="20"/>
              </w:rPr>
            </w:pPr>
            <w:r w:rsidRPr="008D7F44">
              <w:rPr>
                <w:rFonts w:asciiTheme="majorHAnsi" w:hAnsiTheme="majorHAnsi" w:cs="Arial"/>
                <w:color w:val="292B2C"/>
                <w:sz w:val="20"/>
                <w:szCs w:val="20"/>
              </w:rPr>
              <w:t>Toplumsal Katkı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cs="Times New Roman"/>
                <w:color w:val="000000" w:themeColor="text1"/>
                <w:sz w:val="20"/>
                <w:szCs w:val="20"/>
              </w:rPr>
            </w:pPr>
            <w:r w:rsidRPr="008D7F44">
              <w:rPr>
                <w:rFonts w:asciiTheme="majorHAnsi" w:hAnsiTheme="majorHAnsi" w:cs="Times New Roman"/>
                <w:color w:val="000000" w:themeColor="text1"/>
                <w:sz w:val="20"/>
                <w:szCs w:val="20"/>
              </w:rPr>
              <w:t xml:space="preserve">14. </w:t>
            </w:r>
            <w:r w:rsidR="008D7F44" w:rsidRPr="009D0BBC">
              <w:rPr>
                <w:rFonts w:asciiTheme="majorHAnsi" w:hAnsiTheme="majorHAnsi" w:cs="Times New Roman"/>
                <w:color w:val="000000" w:themeColor="text1"/>
                <w:sz w:val="20"/>
                <w:szCs w:val="20"/>
                <w:shd w:val="clear" w:color="auto" w:fill="FFFFFF"/>
              </w:rPr>
              <w:t>İpek ŞENÖZ</w:t>
            </w:r>
          </w:p>
        </w:tc>
        <w:tc>
          <w:tcPr>
            <w:tcW w:w="1863" w:type="dxa"/>
            <w:vAlign w:val="center"/>
          </w:tcPr>
          <w:p w:rsidR="007D3C81" w:rsidRPr="008D7F44" w:rsidRDefault="000E0D64" w:rsidP="00291884">
            <w:pPr>
              <w:pStyle w:val="AralkYok"/>
              <w:rPr>
                <w:rFonts w:asciiTheme="majorHAnsi" w:hAnsiTheme="majorHAnsi"/>
                <w:color w:val="000000" w:themeColor="text1"/>
                <w:sz w:val="20"/>
                <w:szCs w:val="20"/>
              </w:rPr>
            </w:pPr>
            <w:r w:rsidRPr="008D7F44">
              <w:rPr>
                <w:rFonts w:asciiTheme="majorHAnsi" w:hAnsiTheme="majorHAnsi" w:cs="Arial"/>
                <w:color w:val="000000" w:themeColor="text1"/>
                <w:sz w:val="20"/>
                <w:szCs w:val="20"/>
              </w:rPr>
              <w:t>Öğrenci Temsilcisi, Kalite ve Sürdürülebilirlik Öğrenci Kulübü Başkanı</w:t>
            </w:r>
          </w:p>
        </w:tc>
        <w:tc>
          <w:tcPr>
            <w:tcW w:w="1396" w:type="dxa"/>
            <w:vAlign w:val="center"/>
          </w:tcPr>
          <w:p w:rsidR="007D3C81" w:rsidRPr="008D7F44"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0237A2" w:rsidRDefault="001B318F" w:rsidP="000237A2">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714B" w:rsidRDefault="003B714B">
      <w:r>
        <w:separator/>
      </w:r>
    </w:p>
  </w:endnote>
  <w:endnote w:type="continuationSeparator" w:id="0">
    <w:p w:rsidR="003B714B" w:rsidRDefault="003B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Sans">
    <w:altName w:val="Cambria"/>
    <w:panose1 w:val="020B0604020202020204"/>
    <w:charset w:val="00"/>
    <w:family w:val="roman"/>
    <w:notTrueType/>
    <w:pitch w:val="default"/>
  </w:font>
  <w:font w:name="Symbol">
    <w:panose1 w:val="05050102010706020507"/>
    <w:charset w:val="02"/>
    <w:family w:val="decorative"/>
    <w:pitch w:val="variable"/>
    <w:sig w:usb0="00000003" w:usb1="10000000" w:usb2="00000000" w:usb3="00000000" w:csb0="80000001" w:csb1="00000000"/>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714B" w:rsidRDefault="003B714B">
      <w:r>
        <w:separator/>
      </w:r>
    </w:p>
  </w:footnote>
  <w:footnote w:type="continuationSeparator" w:id="0">
    <w:p w:rsidR="003B714B" w:rsidRDefault="003B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0"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6"/>
  </w:num>
  <w:num w:numId="2" w16cid:durableId="287398465">
    <w:abstractNumId w:val="9"/>
  </w:num>
  <w:num w:numId="3" w16cid:durableId="1774127035">
    <w:abstractNumId w:val="2"/>
  </w:num>
  <w:num w:numId="4" w16cid:durableId="1358850548">
    <w:abstractNumId w:val="8"/>
  </w:num>
  <w:num w:numId="5" w16cid:durableId="1365014077">
    <w:abstractNumId w:val="4"/>
  </w:num>
  <w:num w:numId="6" w16cid:durableId="1574201113">
    <w:abstractNumId w:val="5"/>
  </w:num>
  <w:num w:numId="7" w16cid:durableId="511266310">
    <w:abstractNumId w:val="10"/>
  </w:num>
  <w:num w:numId="8" w16cid:durableId="1319920242">
    <w:abstractNumId w:val="12"/>
  </w:num>
  <w:num w:numId="9" w16cid:durableId="254049742">
    <w:abstractNumId w:val="0"/>
  </w:num>
  <w:num w:numId="10" w16cid:durableId="1129203579">
    <w:abstractNumId w:val="11"/>
  </w:num>
  <w:num w:numId="11" w16cid:durableId="1508180133">
    <w:abstractNumId w:val="7"/>
  </w:num>
  <w:num w:numId="12" w16cid:durableId="1143694877">
    <w:abstractNumId w:val="3"/>
  </w:num>
  <w:num w:numId="13" w16cid:durableId="19689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E0E"/>
    <w:rsid w:val="00017B09"/>
    <w:rsid w:val="000237A2"/>
    <w:rsid w:val="000477ED"/>
    <w:rsid w:val="00062AFE"/>
    <w:rsid w:val="00092724"/>
    <w:rsid w:val="000A3AA0"/>
    <w:rsid w:val="000A6771"/>
    <w:rsid w:val="000C0E8D"/>
    <w:rsid w:val="000D67BC"/>
    <w:rsid w:val="000E0D64"/>
    <w:rsid w:val="000F3CBA"/>
    <w:rsid w:val="000F6D83"/>
    <w:rsid w:val="00126EDA"/>
    <w:rsid w:val="00197D6B"/>
    <w:rsid w:val="001B318F"/>
    <w:rsid w:val="001B6678"/>
    <w:rsid w:val="001C1A2D"/>
    <w:rsid w:val="001D3D69"/>
    <w:rsid w:val="001E4861"/>
    <w:rsid w:val="001F5300"/>
    <w:rsid w:val="002038B9"/>
    <w:rsid w:val="00210C08"/>
    <w:rsid w:val="0025015E"/>
    <w:rsid w:val="0025205A"/>
    <w:rsid w:val="00275474"/>
    <w:rsid w:val="00280B6D"/>
    <w:rsid w:val="00291884"/>
    <w:rsid w:val="002A518F"/>
    <w:rsid w:val="002C0006"/>
    <w:rsid w:val="002C6E61"/>
    <w:rsid w:val="002C7147"/>
    <w:rsid w:val="002C7DC2"/>
    <w:rsid w:val="003007A8"/>
    <w:rsid w:val="00303D0B"/>
    <w:rsid w:val="003427C5"/>
    <w:rsid w:val="00343B76"/>
    <w:rsid w:val="00345C8A"/>
    <w:rsid w:val="00352086"/>
    <w:rsid w:val="003550F0"/>
    <w:rsid w:val="00394B18"/>
    <w:rsid w:val="003A17B9"/>
    <w:rsid w:val="003A7E54"/>
    <w:rsid w:val="003B0E0B"/>
    <w:rsid w:val="003B714B"/>
    <w:rsid w:val="003F1F4D"/>
    <w:rsid w:val="00415F48"/>
    <w:rsid w:val="00420266"/>
    <w:rsid w:val="00421E5E"/>
    <w:rsid w:val="00431F52"/>
    <w:rsid w:val="00436C99"/>
    <w:rsid w:val="00454B0A"/>
    <w:rsid w:val="00462B6E"/>
    <w:rsid w:val="004A4128"/>
    <w:rsid w:val="004A7A1B"/>
    <w:rsid w:val="004B2C61"/>
    <w:rsid w:val="004C4679"/>
    <w:rsid w:val="004D2C91"/>
    <w:rsid w:val="00500379"/>
    <w:rsid w:val="00504469"/>
    <w:rsid w:val="005079C8"/>
    <w:rsid w:val="00522024"/>
    <w:rsid w:val="00562F6C"/>
    <w:rsid w:val="00591A71"/>
    <w:rsid w:val="00591BA9"/>
    <w:rsid w:val="005A0610"/>
    <w:rsid w:val="005C0626"/>
    <w:rsid w:val="005D7706"/>
    <w:rsid w:val="005F68C7"/>
    <w:rsid w:val="0062090D"/>
    <w:rsid w:val="00624C8B"/>
    <w:rsid w:val="00644834"/>
    <w:rsid w:val="0064649F"/>
    <w:rsid w:val="00652590"/>
    <w:rsid w:val="00661CD8"/>
    <w:rsid w:val="0068657F"/>
    <w:rsid w:val="00687EA6"/>
    <w:rsid w:val="006C3210"/>
    <w:rsid w:val="006C75DE"/>
    <w:rsid w:val="006D1517"/>
    <w:rsid w:val="00727802"/>
    <w:rsid w:val="00737DEA"/>
    <w:rsid w:val="00741429"/>
    <w:rsid w:val="00747ED3"/>
    <w:rsid w:val="0077254D"/>
    <w:rsid w:val="00774ED1"/>
    <w:rsid w:val="00784D89"/>
    <w:rsid w:val="007B25EE"/>
    <w:rsid w:val="007B2C4C"/>
    <w:rsid w:val="007C014B"/>
    <w:rsid w:val="007C4390"/>
    <w:rsid w:val="007C4FA9"/>
    <w:rsid w:val="007D3C81"/>
    <w:rsid w:val="007D58A1"/>
    <w:rsid w:val="00812FF6"/>
    <w:rsid w:val="00821AE9"/>
    <w:rsid w:val="0083761B"/>
    <w:rsid w:val="00845059"/>
    <w:rsid w:val="00845169"/>
    <w:rsid w:val="00851E54"/>
    <w:rsid w:val="008977E0"/>
    <w:rsid w:val="008B6538"/>
    <w:rsid w:val="008D64AA"/>
    <w:rsid w:val="008D7F44"/>
    <w:rsid w:val="008F30AD"/>
    <w:rsid w:val="00905072"/>
    <w:rsid w:val="009255C5"/>
    <w:rsid w:val="00960332"/>
    <w:rsid w:val="00993E27"/>
    <w:rsid w:val="00996790"/>
    <w:rsid w:val="009B19CC"/>
    <w:rsid w:val="009D0BBC"/>
    <w:rsid w:val="009E1E5D"/>
    <w:rsid w:val="009E4FF3"/>
    <w:rsid w:val="00A03B0F"/>
    <w:rsid w:val="00A0413E"/>
    <w:rsid w:val="00A07500"/>
    <w:rsid w:val="00A24729"/>
    <w:rsid w:val="00A519E5"/>
    <w:rsid w:val="00A526DA"/>
    <w:rsid w:val="00A628C5"/>
    <w:rsid w:val="00A665FF"/>
    <w:rsid w:val="00A74D8A"/>
    <w:rsid w:val="00A769F3"/>
    <w:rsid w:val="00A942FE"/>
    <w:rsid w:val="00A95202"/>
    <w:rsid w:val="00AA2A58"/>
    <w:rsid w:val="00AF5D9D"/>
    <w:rsid w:val="00B43FF8"/>
    <w:rsid w:val="00B46E07"/>
    <w:rsid w:val="00B63C26"/>
    <w:rsid w:val="00B70F12"/>
    <w:rsid w:val="00B742C8"/>
    <w:rsid w:val="00BC7EE1"/>
    <w:rsid w:val="00BF4736"/>
    <w:rsid w:val="00C363DB"/>
    <w:rsid w:val="00C730C2"/>
    <w:rsid w:val="00CE2C46"/>
    <w:rsid w:val="00D12E15"/>
    <w:rsid w:val="00D24AF3"/>
    <w:rsid w:val="00D32A35"/>
    <w:rsid w:val="00D3794B"/>
    <w:rsid w:val="00D4656F"/>
    <w:rsid w:val="00D607C8"/>
    <w:rsid w:val="00D70CFF"/>
    <w:rsid w:val="00DD1F39"/>
    <w:rsid w:val="00DF132C"/>
    <w:rsid w:val="00E047FA"/>
    <w:rsid w:val="00E1639F"/>
    <w:rsid w:val="00E16594"/>
    <w:rsid w:val="00E41A8C"/>
    <w:rsid w:val="00E4655E"/>
    <w:rsid w:val="00E65033"/>
    <w:rsid w:val="00E70FB0"/>
    <w:rsid w:val="00E70FBC"/>
    <w:rsid w:val="00E94E2F"/>
    <w:rsid w:val="00E97063"/>
    <w:rsid w:val="00EA6692"/>
    <w:rsid w:val="00EB26BB"/>
    <w:rsid w:val="00EC2556"/>
    <w:rsid w:val="00EC608C"/>
    <w:rsid w:val="00ED5AAC"/>
    <w:rsid w:val="00ED788B"/>
    <w:rsid w:val="00F0571B"/>
    <w:rsid w:val="00F101F6"/>
    <w:rsid w:val="00F41302"/>
    <w:rsid w:val="00F505AE"/>
    <w:rsid w:val="00F6760D"/>
    <w:rsid w:val="00F7304F"/>
    <w:rsid w:val="00F80036"/>
    <w:rsid w:val="00F84B65"/>
    <w:rsid w:val="00F963B7"/>
    <w:rsid w:val="00FB16AA"/>
    <w:rsid w:val="00FB4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EFC7"/>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 w:type="character" w:styleId="Vurgu">
    <w:name w:val="Emphasis"/>
    <w:basedOn w:val="VarsaylanParagrafYazTipi"/>
    <w:uiPriority w:val="20"/>
    <w:qFormat/>
    <w:rsid w:val="00D2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2242</Words>
  <Characters>12782</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11</cp:revision>
  <cp:lastPrinted>2024-03-07T10:38:00Z</cp:lastPrinted>
  <dcterms:created xsi:type="dcterms:W3CDTF">2026-04-09T12:57:00Z</dcterms:created>
  <dcterms:modified xsi:type="dcterms:W3CDTF">2026-04-13T06:53:00Z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