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40477B" w:rsidP="00450653">
            <w:pPr>
              <w:jc w:val="center"/>
              <w:rPr>
                <w:rFonts w:asciiTheme="majorHAnsi" w:hAnsiTheme="majorHAnsi"/>
                <w:sz w:val="20"/>
              </w:rPr>
            </w:pPr>
            <w:r>
              <w:rPr>
                <w:rFonts w:asciiTheme="majorHAnsi" w:hAnsiTheme="majorHAnsi"/>
                <w:sz w:val="20"/>
              </w:rPr>
              <w:t>3</w:t>
            </w:r>
          </w:p>
        </w:tc>
        <w:tc>
          <w:tcPr>
            <w:tcW w:w="3512" w:type="dxa"/>
          </w:tcPr>
          <w:p w:rsidR="0062090D" w:rsidRPr="0062090D" w:rsidRDefault="00F429C4" w:rsidP="008E4582">
            <w:pPr>
              <w:jc w:val="center"/>
              <w:rPr>
                <w:rFonts w:asciiTheme="majorHAnsi" w:hAnsiTheme="majorHAnsi"/>
                <w:sz w:val="20"/>
              </w:rPr>
            </w:pPr>
            <w:r>
              <w:rPr>
                <w:rFonts w:asciiTheme="majorHAnsi" w:hAnsiTheme="majorHAnsi"/>
                <w:sz w:val="20"/>
              </w:rPr>
              <w:t>05</w:t>
            </w:r>
            <w:r w:rsidR="008E4582">
              <w:rPr>
                <w:rFonts w:asciiTheme="majorHAnsi" w:hAnsiTheme="majorHAnsi"/>
                <w:sz w:val="20"/>
              </w:rPr>
              <w:t>.</w:t>
            </w:r>
            <w:r>
              <w:rPr>
                <w:rFonts w:asciiTheme="majorHAnsi" w:hAnsiTheme="majorHAnsi"/>
                <w:sz w:val="20"/>
              </w:rPr>
              <w:t>02</w:t>
            </w:r>
            <w:r w:rsidR="008E4582">
              <w:rPr>
                <w:rFonts w:asciiTheme="majorHAnsi" w:hAnsiTheme="majorHAnsi"/>
                <w:sz w:val="20"/>
              </w:rPr>
              <w:t>.2025</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695656" w:rsidRPr="00695656" w:rsidRDefault="00695656" w:rsidP="00695656">
            <w:pPr>
              <w:pStyle w:val="NormalWeb"/>
              <w:spacing w:after="0" w:afterAutospacing="0"/>
            </w:pPr>
            <w:r>
              <w:rPr>
                <w:rFonts w:ascii="Times New Roman,Bold" w:hAnsi="Times New Roman,Bold"/>
                <w:sz w:val="22"/>
                <w:szCs w:val="22"/>
              </w:rPr>
              <w:t xml:space="preserve">A.5. </w:t>
            </w:r>
            <w:r>
              <w:rPr>
                <w:sz w:val="22"/>
                <w:szCs w:val="22"/>
              </w:rPr>
              <w:t xml:space="preserve">Yönetiştim süreçlerinin paydaş̧ katılımıyla birlikte geliştirilmesi ve yaygınlaştırılması ile kalite yönetim sistemlerinin tüm birimlerde uygulanmasını sağlamak. </w:t>
            </w:r>
            <w:r>
              <w:rPr>
                <w:rFonts w:ascii="Times New Roman,Bold" w:hAnsi="Times New Roman,Bold"/>
                <w:sz w:val="22"/>
                <w:szCs w:val="22"/>
              </w:rPr>
              <w:t xml:space="preserve">H.5.2. </w:t>
            </w:r>
            <w:r>
              <w:rPr>
                <w:sz w:val="22"/>
                <w:szCs w:val="22"/>
              </w:rPr>
              <w:t xml:space="preserve">Üniversite içerisinde personel memnuniyetinin arttırılması. </w:t>
            </w:r>
          </w:p>
          <w:p w:rsidR="0062090D" w:rsidRPr="0060546C" w:rsidRDefault="00695656" w:rsidP="006B35F2">
            <w:pPr>
              <w:pStyle w:val="NormalWeb"/>
              <w:spacing w:before="0" w:beforeAutospacing="0" w:after="240" w:afterAutospacing="0"/>
              <w:rPr>
                <w:sz w:val="22"/>
                <w:szCs w:val="22"/>
              </w:rPr>
            </w:pPr>
            <w:r>
              <w:rPr>
                <w:rFonts w:ascii="Times New Roman,Bold" w:hAnsi="Times New Roman,Bold"/>
                <w:sz w:val="22"/>
                <w:szCs w:val="22"/>
              </w:rPr>
              <w:t>PG.5.2.1</w:t>
            </w:r>
            <w:r>
              <w:rPr>
                <w:sz w:val="22"/>
                <w:szCs w:val="22"/>
              </w:rPr>
              <w:t>. Akademik personel memnuniyet oranı.</w:t>
            </w:r>
            <w:r>
              <w:rPr>
                <w:sz w:val="22"/>
                <w:szCs w:val="22"/>
              </w:rPr>
              <w:br/>
            </w:r>
            <w:r>
              <w:rPr>
                <w:rFonts w:ascii="Times New Roman,Bold" w:hAnsi="Times New Roman,Bold"/>
                <w:sz w:val="22"/>
                <w:szCs w:val="22"/>
              </w:rPr>
              <w:t xml:space="preserve">PG.5.2.2. </w:t>
            </w:r>
            <w:r>
              <w:rPr>
                <w:sz w:val="22"/>
                <w:szCs w:val="22"/>
              </w:rPr>
              <w:t xml:space="preserve">İdari personel memnuniyet oranı. </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62090D" w:rsidRDefault="00ED4B44">
            <w:pPr>
              <w:rPr>
                <w:rFonts w:asciiTheme="majorHAnsi" w:hAnsiTheme="majorHAnsi"/>
                <w:sz w:val="20"/>
              </w:rPr>
            </w:pPr>
            <w:r>
              <w:rPr>
                <w:rFonts w:asciiTheme="majorHAnsi" w:hAnsiTheme="majorHAnsi"/>
                <w:sz w:val="20"/>
              </w:rPr>
              <w:t>A.3. Yönetim Sistemleri</w:t>
            </w:r>
          </w:p>
          <w:p w:rsidR="00ED4B44" w:rsidRDefault="00ED4B44">
            <w:pPr>
              <w:rPr>
                <w:rFonts w:asciiTheme="majorHAnsi" w:hAnsiTheme="majorHAnsi"/>
                <w:sz w:val="20"/>
              </w:rPr>
            </w:pPr>
            <w:r>
              <w:rPr>
                <w:rFonts w:asciiTheme="majorHAnsi" w:hAnsiTheme="majorHAnsi"/>
                <w:sz w:val="20"/>
              </w:rPr>
              <w:t>A.3.2. İnsan Kaynakları Yönetimi</w:t>
            </w:r>
          </w:p>
          <w:p w:rsidR="00ED4B44" w:rsidRDefault="00ED4B44">
            <w:pPr>
              <w:rPr>
                <w:rFonts w:asciiTheme="majorHAnsi" w:hAnsiTheme="majorHAnsi"/>
                <w:sz w:val="20"/>
              </w:rPr>
            </w:pPr>
            <w:r>
              <w:rPr>
                <w:rFonts w:asciiTheme="majorHAnsi" w:hAnsiTheme="majorHAnsi"/>
                <w:sz w:val="20"/>
              </w:rPr>
              <w:t>A.4. Paydaş Katılımı</w:t>
            </w:r>
          </w:p>
          <w:p w:rsidR="00ED4B44" w:rsidRDefault="00ED4B44">
            <w:pPr>
              <w:rPr>
                <w:rFonts w:asciiTheme="majorHAnsi" w:hAnsiTheme="majorHAnsi"/>
                <w:sz w:val="20"/>
              </w:rPr>
            </w:pPr>
            <w:r>
              <w:rPr>
                <w:rFonts w:asciiTheme="majorHAnsi" w:hAnsiTheme="majorHAnsi"/>
                <w:sz w:val="20"/>
              </w:rPr>
              <w:t>A.4.2. Öğrenci Geri Bildirimleri</w:t>
            </w:r>
          </w:p>
          <w:p w:rsidR="006B35F2" w:rsidRDefault="006B35F2">
            <w:pPr>
              <w:rPr>
                <w:rFonts w:asciiTheme="majorHAnsi" w:hAnsiTheme="majorHAnsi"/>
                <w:sz w:val="20"/>
              </w:rPr>
            </w:pPr>
            <w:r>
              <w:rPr>
                <w:rFonts w:asciiTheme="majorHAnsi" w:hAnsiTheme="majorHAnsi"/>
                <w:sz w:val="20"/>
              </w:rPr>
              <w:t>B.2. Programın Yürütülmesi (Öğrenci Merkezli Öğrenme Öğretme ve Değerlendirme)</w:t>
            </w:r>
          </w:p>
          <w:p w:rsidR="006B35F2" w:rsidRPr="0062090D" w:rsidRDefault="006B35F2" w:rsidP="006B35F2">
            <w:pPr>
              <w:spacing w:after="240"/>
              <w:rPr>
                <w:rFonts w:asciiTheme="majorHAnsi" w:hAnsiTheme="majorHAnsi"/>
                <w:sz w:val="20"/>
              </w:rPr>
            </w:pPr>
            <w:r>
              <w:rPr>
                <w:rFonts w:asciiTheme="majorHAnsi" w:hAnsiTheme="majorHAnsi"/>
                <w:sz w:val="20"/>
              </w:rPr>
              <w:t>B.2.2. Ölçme ve Değerlendirme</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ED4B44" w:rsidRPr="006B35F2" w:rsidRDefault="00ED4B44" w:rsidP="00ED4B44">
            <w:pPr>
              <w:rPr>
                <w:rStyle w:val="Gl"/>
                <w:rFonts w:asciiTheme="majorHAnsi" w:hAnsiTheme="majorHAnsi"/>
                <w:b w:val="0"/>
                <w:bCs w:val="0"/>
                <w:color w:val="000000" w:themeColor="text1"/>
                <w:sz w:val="20"/>
                <w:szCs w:val="20"/>
              </w:rPr>
            </w:pPr>
            <w:r w:rsidRPr="006B35F2">
              <w:rPr>
                <w:rStyle w:val="Gl"/>
                <w:rFonts w:asciiTheme="majorHAnsi" w:hAnsiTheme="majorHAnsi"/>
                <w:b w:val="0"/>
                <w:bCs w:val="0"/>
                <w:color w:val="000000" w:themeColor="text1"/>
                <w:sz w:val="20"/>
                <w:szCs w:val="20"/>
              </w:rPr>
              <w:t>SKA 4- Nitelikli Eğitim</w:t>
            </w:r>
          </w:p>
          <w:p w:rsidR="0062090D" w:rsidRPr="0062090D" w:rsidRDefault="00250AEA">
            <w:pPr>
              <w:rPr>
                <w:rFonts w:asciiTheme="majorHAnsi" w:hAnsiTheme="majorHAnsi"/>
                <w:sz w:val="20"/>
              </w:rPr>
            </w:pPr>
            <w:r>
              <w:rPr>
                <w:rFonts w:asciiTheme="majorHAnsi" w:hAnsiTheme="majorHAnsi"/>
                <w:sz w:val="20"/>
              </w:rPr>
              <w:t>SKA 17-Amaçlar için Ortaklıklar</w:t>
            </w:r>
          </w:p>
        </w:tc>
      </w:tr>
    </w:tbl>
    <w:p w:rsidR="0062090D" w:rsidRDefault="0062090D"/>
    <w:tbl>
      <w:tblPr>
        <w:tblStyle w:val="TabloKlavuzu"/>
        <w:tblW w:w="9927" w:type="dxa"/>
        <w:jc w:val="center"/>
        <w:tblLook w:val="04A0" w:firstRow="1" w:lastRow="0" w:firstColumn="1" w:lastColumn="0" w:noHBand="0" w:noVBand="1"/>
      </w:tblPr>
      <w:tblGrid>
        <w:gridCol w:w="2097"/>
        <w:gridCol w:w="7830"/>
      </w:tblGrid>
      <w:tr w:rsidR="007B2C4C" w:rsidRPr="001F5300" w:rsidTr="009F72DE">
        <w:trPr>
          <w:jc w:val="center"/>
        </w:trPr>
        <w:tc>
          <w:tcPr>
            <w:tcW w:w="9927"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9F72DE">
        <w:trPr>
          <w:jc w:val="center"/>
        </w:trPr>
        <w:tc>
          <w:tcPr>
            <w:tcW w:w="2097"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0A766B" w:rsidRDefault="002053FA" w:rsidP="000A766B">
            <w:pPr>
              <w:pStyle w:val="AralkYok"/>
              <w:spacing w:line="276" w:lineRule="auto"/>
              <w:rPr>
                <w:rFonts w:asciiTheme="majorHAnsi" w:hAnsiTheme="majorHAnsi"/>
                <w:b/>
                <w:sz w:val="20"/>
                <w:szCs w:val="20"/>
              </w:rPr>
            </w:pPr>
            <w:r>
              <w:rPr>
                <w:rFonts w:asciiTheme="majorHAnsi" w:hAnsiTheme="majorHAnsi"/>
                <w:color w:val="000000"/>
                <w:sz w:val="20"/>
                <w:szCs w:val="20"/>
              </w:rPr>
              <w:t xml:space="preserve">ISO 9001 İç Tetkik </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261FF7">
              <w:rPr>
                <w:rFonts w:asciiTheme="majorHAnsi" w:hAnsiTheme="majorHAnsi"/>
                <w:sz w:val="20"/>
                <w:szCs w:val="20"/>
              </w:rPr>
              <w:t>3.3</w:t>
            </w:r>
            <w:r>
              <w:rPr>
                <w:rFonts w:asciiTheme="majorHAnsi" w:hAnsiTheme="majorHAnsi"/>
                <w:sz w:val="20"/>
                <w:szCs w:val="20"/>
              </w:rPr>
              <w:t>0</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6F4D01" w:rsidRDefault="007B2C4C" w:rsidP="006F4D01">
      <w:pPr>
        <w:jc w:val="both"/>
        <w:rPr>
          <w:rFonts w:asciiTheme="majorHAnsi" w:hAnsiTheme="majorHAnsi" w:cs="Times New Roman"/>
          <w:b/>
          <w:sz w:val="20"/>
          <w:szCs w:val="20"/>
          <w:u w:val="single"/>
        </w:rPr>
      </w:pPr>
      <w:r w:rsidRPr="009F72DE">
        <w:rPr>
          <w:rFonts w:asciiTheme="majorHAnsi" w:hAnsiTheme="majorHAnsi" w:cs="Times New Roman"/>
          <w:b/>
          <w:sz w:val="20"/>
          <w:szCs w:val="20"/>
          <w:u w:val="single"/>
        </w:rPr>
        <w:t>GÜNDEM:</w:t>
      </w:r>
    </w:p>
    <w:p w:rsidR="001F5300" w:rsidRDefault="002053FA" w:rsidP="002053FA">
      <w:pPr>
        <w:pStyle w:val="ListeParagraf"/>
        <w:numPr>
          <w:ilvl w:val="0"/>
          <w:numId w:val="9"/>
        </w:numPr>
        <w:spacing w:before="200"/>
        <w:jc w:val="both"/>
        <w:rPr>
          <w:rFonts w:asciiTheme="majorHAnsi" w:hAnsiTheme="majorHAnsi" w:cs="Times New Roman"/>
          <w:sz w:val="20"/>
          <w:szCs w:val="20"/>
        </w:rPr>
      </w:pPr>
      <w:r>
        <w:rPr>
          <w:rFonts w:asciiTheme="majorHAnsi" w:hAnsiTheme="majorHAnsi" w:cs="Times New Roman"/>
          <w:sz w:val="20"/>
          <w:szCs w:val="20"/>
        </w:rPr>
        <w:t>İç tetkik sürecinin görüşülmesi</w:t>
      </w:r>
    </w:p>
    <w:p w:rsidR="00250AEA" w:rsidRDefault="00FC3D87" w:rsidP="002053FA">
      <w:pPr>
        <w:pStyle w:val="ListeParagraf"/>
        <w:numPr>
          <w:ilvl w:val="0"/>
          <w:numId w:val="9"/>
        </w:numPr>
        <w:spacing w:before="200"/>
        <w:jc w:val="both"/>
        <w:rPr>
          <w:rFonts w:asciiTheme="majorHAnsi" w:hAnsiTheme="majorHAnsi" w:cs="Times New Roman"/>
          <w:sz w:val="20"/>
          <w:szCs w:val="20"/>
        </w:rPr>
      </w:pPr>
      <w:r>
        <w:rPr>
          <w:rFonts w:asciiTheme="majorHAnsi" w:hAnsiTheme="majorHAnsi" w:cs="Times New Roman"/>
          <w:sz w:val="20"/>
          <w:szCs w:val="20"/>
        </w:rPr>
        <w:t>Risk Analizinin Görüşülmesi</w:t>
      </w:r>
    </w:p>
    <w:p w:rsidR="00FC3D87" w:rsidRDefault="00FC3D87" w:rsidP="002053FA">
      <w:pPr>
        <w:pStyle w:val="ListeParagraf"/>
        <w:numPr>
          <w:ilvl w:val="0"/>
          <w:numId w:val="9"/>
        </w:numPr>
        <w:spacing w:before="200"/>
        <w:jc w:val="both"/>
        <w:rPr>
          <w:rFonts w:asciiTheme="majorHAnsi" w:hAnsiTheme="majorHAnsi" w:cs="Times New Roman"/>
          <w:sz w:val="20"/>
          <w:szCs w:val="20"/>
        </w:rPr>
      </w:pPr>
      <w:r>
        <w:rPr>
          <w:rFonts w:asciiTheme="majorHAnsi" w:hAnsiTheme="majorHAnsi" w:cs="Times New Roman"/>
          <w:sz w:val="20"/>
          <w:szCs w:val="20"/>
        </w:rPr>
        <w:t>KİDR sürecinin görüşülmesi</w:t>
      </w:r>
    </w:p>
    <w:p w:rsidR="00D05424" w:rsidRDefault="00D05424" w:rsidP="006F4D01">
      <w:pPr>
        <w:rPr>
          <w:rFonts w:asciiTheme="majorHAnsi" w:hAnsiTheme="majorHAnsi" w:cs="Times New Roman"/>
          <w:b/>
          <w:sz w:val="20"/>
          <w:szCs w:val="20"/>
          <w:u w:val="single"/>
        </w:rPr>
      </w:pPr>
    </w:p>
    <w:p w:rsidR="00851E54" w:rsidRPr="006F4D01" w:rsidRDefault="00851E54" w:rsidP="006F4D01">
      <w:pPr>
        <w:rPr>
          <w:rFonts w:asciiTheme="majorHAnsi" w:hAnsiTheme="majorHAnsi" w:cs="Times New Roman"/>
          <w:b/>
          <w:sz w:val="20"/>
          <w:szCs w:val="20"/>
          <w:u w:val="single"/>
        </w:rPr>
      </w:pPr>
      <w:r w:rsidRPr="006F4D01">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E55820" w:rsidRPr="006F4D01" w:rsidRDefault="00E55820" w:rsidP="006F4D01">
      <w:pPr>
        <w:tabs>
          <w:tab w:val="left" w:pos="1418"/>
        </w:tabs>
        <w:spacing w:before="240" w:line="276" w:lineRule="auto"/>
        <w:jc w:val="both"/>
        <w:rPr>
          <w:rFonts w:asciiTheme="majorHAnsi" w:hAnsiTheme="majorHAnsi" w:cs="Times New Roman"/>
          <w:bCs/>
          <w:sz w:val="20"/>
          <w:szCs w:val="20"/>
        </w:rPr>
      </w:pPr>
      <w:r w:rsidRPr="00E55820">
        <w:rPr>
          <w:rFonts w:asciiTheme="majorHAnsi" w:hAnsiTheme="majorHAnsi" w:cs="Times New Roman"/>
          <w:bCs/>
          <w:sz w:val="20"/>
          <w:szCs w:val="20"/>
        </w:rPr>
        <w:t>İç tetkik sürecinin planlanmasına yönelik olarak tetkikçilerle bir araya gelinmiş, sürece ilişkin hususlar görüşülmüş ve yöneltilen sorular cevaplandırılmıştır. Bu kapsamda, kurum içi kalite güvence faaliyetleri doğrultusunda iç tetkikin 09–13 Şubat tarihleri arasında gerçekleştirilmesine karar verilmiştir.</w:t>
      </w:r>
    </w:p>
    <w:p w:rsidR="00D32A35"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E55820" w:rsidRPr="00E55820" w:rsidRDefault="00E55820" w:rsidP="00E55820">
      <w:pPr>
        <w:tabs>
          <w:tab w:val="left" w:pos="1418"/>
        </w:tabs>
        <w:spacing w:before="240" w:line="276" w:lineRule="auto"/>
        <w:jc w:val="both"/>
        <w:rPr>
          <w:rFonts w:asciiTheme="majorHAnsi" w:hAnsiTheme="majorHAnsi" w:cs="Times New Roman"/>
          <w:iCs/>
          <w:sz w:val="20"/>
          <w:szCs w:val="20"/>
        </w:rPr>
      </w:pPr>
      <w:r w:rsidRPr="00E55820">
        <w:rPr>
          <w:rFonts w:asciiTheme="majorHAnsi" w:hAnsiTheme="majorHAnsi" w:cs="Times New Roman"/>
          <w:iCs/>
          <w:sz w:val="20"/>
          <w:szCs w:val="20"/>
        </w:rPr>
        <w:t xml:space="preserve">Kurumsal kalite yönetim sisteminin etkinliğinin değerlendirilmesi, süreçlerin ilgili standart ve mevzuata </w:t>
      </w:r>
      <w:r w:rsidRPr="00E55820">
        <w:rPr>
          <w:rFonts w:asciiTheme="majorHAnsi" w:hAnsiTheme="majorHAnsi" w:cs="Times New Roman"/>
          <w:iCs/>
          <w:sz w:val="20"/>
          <w:szCs w:val="20"/>
        </w:rPr>
        <w:lastRenderedPageBreak/>
        <w:t>uygunluğunun gözden geçirilmesi ve sürekli iyileştirme yaklaşımının güçlendirilmesi amacıyla iç tetkik faaliyetlerinin planlı ve sistematik şekilde yürütülmesi gerekliliği doğmuştur. Bu doğrultuda, tetkik sürecine ilişkin hazırlıkların tamamlanması ve uygulama takviminin netleştirilmesi ihtiyacı ortaya çıkmıştır.</w:t>
      </w:r>
    </w:p>
    <w:p w:rsidR="00D32A35" w:rsidRDefault="00851E54" w:rsidP="006B35F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AD1DD7" w:rsidRPr="00E55820" w:rsidRDefault="00E55820" w:rsidP="00E55820">
      <w:pPr>
        <w:tabs>
          <w:tab w:val="left" w:pos="1418"/>
        </w:tabs>
        <w:spacing w:before="240" w:line="276" w:lineRule="auto"/>
        <w:jc w:val="both"/>
        <w:rPr>
          <w:rFonts w:ascii="Cambria" w:hAnsi="Cambria" w:cs="Times New Roman"/>
          <w:sz w:val="20"/>
          <w:szCs w:val="20"/>
        </w:rPr>
      </w:pPr>
      <w:r w:rsidRPr="00E55820">
        <w:rPr>
          <w:rFonts w:ascii="Cambria" w:hAnsi="Cambria" w:cs="Times New Roman"/>
          <w:sz w:val="20"/>
          <w:szCs w:val="20"/>
        </w:rPr>
        <w:t>Karar kapsamında, 09–13 Şubat tarihleri arasında gerçekleştirilecek iç tetkik sürecinin belirlenen program doğrultusunda yürütülmesi, tetkikçiler ile ilgili birimler arasında gerekli koordinasyonun sağlanması, tespit edilen bulguların kayıt altına alınması ve sürecin sonunda değerlendirme raporlarının hazırlanarak kalite iyileştirme çalışmalarına girdi oluşturacak şekilde ilgili birimlere iletilmesi öngörülmüştür.</w:t>
      </w:r>
    </w:p>
    <w:p w:rsidR="00582A41" w:rsidRPr="00582A41" w:rsidRDefault="00582A41" w:rsidP="00582A41">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Karar No 2:</w:t>
      </w:r>
    </w:p>
    <w:p w:rsidR="00582A41" w:rsidRPr="00582A41" w:rsidRDefault="00582A41" w:rsidP="00582A41">
      <w:pPr>
        <w:tabs>
          <w:tab w:val="left" w:pos="1418"/>
        </w:tabs>
        <w:spacing w:before="240"/>
        <w:jc w:val="both"/>
        <w:rPr>
          <w:rFonts w:ascii="Cambria" w:hAnsi="Cambria" w:cs="Times New Roman"/>
          <w:sz w:val="20"/>
          <w:szCs w:val="20"/>
        </w:rPr>
      </w:pPr>
      <w:r w:rsidRPr="00582A41">
        <w:rPr>
          <w:rFonts w:ascii="Cambria" w:hAnsi="Cambria" w:cs="Times New Roman"/>
          <w:sz w:val="20"/>
          <w:szCs w:val="20"/>
        </w:rPr>
        <w:t>Birimlerin risk analizlerinin tamamlanarak üniversitenin web sayfasında yayımlanmasına, risk yönetimi sürecinin düzenli olarak izlenmesine ve ihtiyaç duyulması halinde güncellenmesine karar verilmiştir.</w:t>
      </w:r>
    </w:p>
    <w:p w:rsidR="00582A41" w:rsidRPr="00582A41" w:rsidRDefault="00582A41" w:rsidP="00582A41">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Gerekçesi</w:t>
      </w:r>
    </w:p>
    <w:p w:rsidR="00582A41" w:rsidRPr="00582A41" w:rsidRDefault="00582A41" w:rsidP="00582A41">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Kurumsal risklerin sistematik biçimde belirlenmesi, değerlendirilmesi ve şeffaflık ilkesi doğrultusunda kamuoyu ile paylaşılması; olası tehditlerin önceden öngörülerek gerekli tedbirlerin alınması ve kurumsal sürdürülebilirliğin sağlanması açısından önem taşımaktadır. Bu nedenle risk analizlerinin yayımlanması ve sürecin sürekli izlenmesi gerekliliği doğmuştur.</w:t>
      </w:r>
    </w:p>
    <w:p w:rsidR="00582A41" w:rsidRPr="00582A41" w:rsidRDefault="00582A41" w:rsidP="00582A41">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İçeriği</w:t>
      </w:r>
    </w:p>
    <w:p w:rsidR="00B77F7C" w:rsidRDefault="00582A41" w:rsidP="00582A41">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 kapsamında, birimlerce hazırlanan risk analizlerinin kurumsal web sayfasında erişime açılması, risklerin periyodik olarak gözden geçirilmesi, gerçekleşme durumlarının izlenmesi ve değişen koşullar doğrultusunda gerekli revizyonların yapılması; ayrıca risk yönetimi sürecinin kalite güvence sistemi ile entegre şekilde yürütülmesi öngörülmüştür.</w:t>
      </w:r>
    </w:p>
    <w:p w:rsidR="006F4D01" w:rsidRPr="00582A41" w:rsidRDefault="006F4D01" w:rsidP="006F4D01">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 xml:space="preserve">Karar No </w:t>
      </w:r>
      <w:r>
        <w:rPr>
          <w:rFonts w:ascii="Cambria" w:hAnsi="Cambria" w:cs="Times New Roman"/>
          <w:b/>
          <w:bCs/>
          <w:sz w:val="20"/>
          <w:szCs w:val="20"/>
        </w:rPr>
        <w:t>3</w:t>
      </w:r>
      <w:r w:rsidRPr="00582A41">
        <w:rPr>
          <w:rFonts w:ascii="Cambria" w:hAnsi="Cambria" w:cs="Times New Roman"/>
          <w:b/>
          <w:bCs/>
          <w:sz w:val="20"/>
          <w:szCs w:val="20"/>
        </w:rPr>
        <w:t>:</w:t>
      </w:r>
    </w:p>
    <w:p w:rsidR="006F4D01" w:rsidRDefault="006F4D01" w:rsidP="00B77F7C">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KİDR (Kurumsal İç Değerlendirme Raporu) sürecinin görüşülmesi sonucunda, ilgili birimlerin rapora esas bölüm ve alt başlıklara ilişkin çalışmalarını 10 Mart tarihine kadar tamamlayarak Kalite Birimine iletmelerine karar verilmiştir.</w:t>
      </w:r>
    </w:p>
    <w:p w:rsidR="006F4D01" w:rsidRPr="006F4D01" w:rsidRDefault="006F4D01" w:rsidP="006F4D01">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Kararın Gerekçesi</w:t>
      </w:r>
    </w:p>
    <w:p w:rsidR="006F4D01" w:rsidRPr="006F4D01" w:rsidRDefault="006F4D01" w:rsidP="006F4D01">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Kurumsal İç Değerlendirme Raporu’nun belirlenen takvim doğrultusunda, eksiksiz ve bütüncül bir şekilde hazırlanabilmesi için birim bazlı katkıların zamanında tamamlanması gerekliliği doğmuştur. Sürecin sağlıklı yürütülmesi ve raporun kurumsal performansı doğru yansıtması açısından koordineli ve planlı çalışma önem arz etmektedir.</w:t>
      </w:r>
    </w:p>
    <w:p w:rsidR="006F4D01" w:rsidRPr="006F4D01" w:rsidRDefault="006F4D01" w:rsidP="006F4D01">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Kararın İçeriği</w:t>
      </w:r>
    </w:p>
    <w:p w:rsidR="006F4D01" w:rsidRDefault="006F4D01" w:rsidP="00B77F7C">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Karar kapsamında, ilgili birimlerin sorumlu oldukları KİDR bölümlerine ilişkin veri toplama, analiz ve raporlama çalışmalarını 10 Mart tarihine kadar tamamlamaları; hazırlanan içeriklerin Kalite Birimine resmi olarak iletilmesi; ardından raporun konsolide edilerek gerekli düzenleme ve kontrollerin yapılması sürecinin başlatılması öngörülmüştür.</w:t>
      </w:r>
    </w:p>
    <w:p w:rsidR="006F4D01" w:rsidRPr="00B77F7C" w:rsidRDefault="006F4D01" w:rsidP="00B77F7C">
      <w:pPr>
        <w:tabs>
          <w:tab w:val="left" w:pos="1418"/>
        </w:tabs>
        <w:spacing w:before="240"/>
        <w:jc w:val="both"/>
        <w:rPr>
          <w:rFonts w:ascii="Cambria" w:hAnsi="Cambria" w:cs="Times New Roman"/>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2217"/>
        <w:gridCol w:w="1295"/>
        <w:gridCol w:w="1577"/>
        <w:gridCol w:w="1855"/>
        <w:gridCol w:w="1421"/>
        <w:gridCol w:w="1578"/>
      </w:tblGrid>
      <w:tr w:rsidR="00261FF7" w:rsidRPr="001F5300" w:rsidTr="002053FA">
        <w:trPr>
          <w:jc w:val="center"/>
        </w:trPr>
        <w:tc>
          <w:tcPr>
            <w:tcW w:w="2217" w:type="dxa"/>
            <w:vAlign w:val="center"/>
          </w:tcPr>
          <w:p w:rsidR="00261FF7" w:rsidRPr="001F5300" w:rsidRDefault="00261FF7" w:rsidP="00FD33ED">
            <w:pPr>
              <w:pStyle w:val="AralkYok"/>
              <w:spacing w:line="360" w:lineRule="auto"/>
              <w:ind w:left="720"/>
              <w:rPr>
                <w:rFonts w:asciiTheme="majorHAnsi" w:hAnsiTheme="majorHAnsi"/>
                <w:b/>
                <w:sz w:val="20"/>
                <w:szCs w:val="20"/>
              </w:rPr>
            </w:pPr>
            <w:r w:rsidRPr="001F5300">
              <w:rPr>
                <w:rFonts w:asciiTheme="majorHAnsi" w:hAnsiTheme="majorHAnsi"/>
                <w:b/>
                <w:sz w:val="20"/>
                <w:szCs w:val="20"/>
              </w:rPr>
              <w:t>Adı Soyadı</w:t>
            </w:r>
          </w:p>
        </w:tc>
        <w:tc>
          <w:tcPr>
            <w:tcW w:w="1295" w:type="dxa"/>
            <w:vAlign w:val="center"/>
          </w:tcPr>
          <w:p w:rsidR="00261FF7" w:rsidRPr="001F5300" w:rsidRDefault="00261FF7" w:rsidP="00FD33ED">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77" w:type="dxa"/>
            <w:vAlign w:val="center"/>
          </w:tcPr>
          <w:p w:rsidR="00261FF7" w:rsidRPr="001F5300" w:rsidRDefault="00261FF7"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c>
          <w:tcPr>
            <w:tcW w:w="1855" w:type="dxa"/>
            <w:vAlign w:val="center"/>
          </w:tcPr>
          <w:p w:rsidR="00261FF7" w:rsidRPr="001F5300" w:rsidRDefault="00261FF7"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Adı Soyadı</w:t>
            </w:r>
          </w:p>
        </w:tc>
        <w:tc>
          <w:tcPr>
            <w:tcW w:w="1421" w:type="dxa"/>
            <w:vAlign w:val="center"/>
          </w:tcPr>
          <w:p w:rsidR="00261FF7" w:rsidRPr="001F5300" w:rsidRDefault="00261FF7" w:rsidP="00FD33ED">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78" w:type="dxa"/>
            <w:vAlign w:val="center"/>
          </w:tcPr>
          <w:p w:rsidR="00261FF7" w:rsidRPr="001F5300" w:rsidRDefault="00261FF7"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r>
      <w:tr w:rsidR="00261FF7" w:rsidRPr="001F5300" w:rsidTr="002053FA">
        <w:trPr>
          <w:jc w:val="center"/>
        </w:trPr>
        <w:tc>
          <w:tcPr>
            <w:tcW w:w="2217"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H. Mahir FİSUNOĞLU</w:t>
            </w:r>
          </w:p>
        </w:tc>
        <w:tc>
          <w:tcPr>
            <w:tcW w:w="1295"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Prof. Dr.</w:t>
            </w:r>
          </w:p>
        </w:tc>
        <w:tc>
          <w:tcPr>
            <w:tcW w:w="1577"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5" w:type="dxa"/>
            <w:vAlign w:val="center"/>
          </w:tcPr>
          <w:p w:rsidR="00261FF7" w:rsidRPr="001F5300" w:rsidRDefault="002053FA" w:rsidP="00FD33ED">
            <w:pPr>
              <w:pStyle w:val="AralkYok"/>
              <w:spacing w:line="360" w:lineRule="auto"/>
              <w:rPr>
                <w:rFonts w:asciiTheme="majorHAnsi" w:hAnsiTheme="majorHAnsi"/>
                <w:sz w:val="20"/>
                <w:szCs w:val="20"/>
              </w:rPr>
            </w:pPr>
            <w:r>
              <w:rPr>
                <w:rFonts w:asciiTheme="majorHAnsi" w:hAnsiTheme="majorHAnsi"/>
                <w:sz w:val="20"/>
                <w:szCs w:val="20"/>
              </w:rPr>
              <w:t xml:space="preserve">11. </w:t>
            </w:r>
            <w:r w:rsidR="00261FF7" w:rsidRPr="001F5300">
              <w:rPr>
                <w:rFonts w:asciiTheme="majorHAnsi" w:hAnsiTheme="majorHAnsi"/>
                <w:sz w:val="20"/>
                <w:szCs w:val="20"/>
              </w:rPr>
              <w:t xml:space="preserve"> </w:t>
            </w:r>
            <w:r w:rsidR="00261FF7">
              <w:rPr>
                <w:rFonts w:asciiTheme="majorHAnsi" w:hAnsiTheme="majorHAnsi"/>
                <w:sz w:val="20"/>
                <w:szCs w:val="20"/>
              </w:rPr>
              <w:t>Seyfettin ÖZDEMİREL</w:t>
            </w:r>
          </w:p>
        </w:tc>
        <w:tc>
          <w:tcPr>
            <w:tcW w:w="1421"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8"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2053FA">
        <w:trPr>
          <w:trHeight w:val="930"/>
          <w:jc w:val="center"/>
        </w:trPr>
        <w:tc>
          <w:tcPr>
            <w:tcW w:w="2217" w:type="dxa"/>
            <w:vAlign w:val="center"/>
          </w:tcPr>
          <w:p w:rsidR="00261FF7" w:rsidRPr="00F37C3E"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Şenol KANDEMİR</w:t>
            </w:r>
          </w:p>
        </w:tc>
        <w:tc>
          <w:tcPr>
            <w:tcW w:w="1295"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Doç. Dr.</w:t>
            </w:r>
          </w:p>
        </w:tc>
        <w:tc>
          <w:tcPr>
            <w:tcW w:w="1577"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5" w:type="dxa"/>
            <w:vAlign w:val="center"/>
          </w:tcPr>
          <w:p w:rsidR="00261FF7" w:rsidRPr="001F5300" w:rsidRDefault="002053FA" w:rsidP="00FD33ED">
            <w:pPr>
              <w:pStyle w:val="AralkYok"/>
              <w:spacing w:line="360" w:lineRule="auto"/>
              <w:rPr>
                <w:rFonts w:asciiTheme="majorHAnsi" w:hAnsiTheme="majorHAnsi"/>
                <w:sz w:val="20"/>
                <w:szCs w:val="20"/>
              </w:rPr>
            </w:pPr>
            <w:r>
              <w:rPr>
                <w:rFonts w:asciiTheme="majorHAnsi" w:hAnsiTheme="majorHAnsi"/>
                <w:sz w:val="20"/>
                <w:szCs w:val="20"/>
              </w:rPr>
              <w:t xml:space="preserve">12. </w:t>
            </w:r>
            <w:r w:rsidR="00261FF7">
              <w:rPr>
                <w:rFonts w:asciiTheme="majorHAnsi" w:hAnsiTheme="majorHAnsi"/>
                <w:sz w:val="20"/>
                <w:szCs w:val="20"/>
              </w:rPr>
              <w:t>Süreyya YILMAZ ÖZEKENCİ</w:t>
            </w:r>
          </w:p>
        </w:tc>
        <w:tc>
          <w:tcPr>
            <w:tcW w:w="1421"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8"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2053FA">
        <w:trPr>
          <w:jc w:val="center"/>
        </w:trPr>
        <w:tc>
          <w:tcPr>
            <w:tcW w:w="2217"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Gürcan DEMİROGLARI</w:t>
            </w:r>
          </w:p>
        </w:tc>
        <w:tc>
          <w:tcPr>
            <w:tcW w:w="1295"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7"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5" w:type="dxa"/>
            <w:vAlign w:val="center"/>
          </w:tcPr>
          <w:p w:rsidR="00261FF7" w:rsidRPr="001F5300" w:rsidRDefault="002053FA" w:rsidP="00FD33ED">
            <w:pPr>
              <w:pStyle w:val="AralkYok"/>
              <w:spacing w:line="360" w:lineRule="auto"/>
              <w:rPr>
                <w:rFonts w:asciiTheme="majorHAnsi" w:hAnsiTheme="majorHAnsi"/>
                <w:sz w:val="20"/>
                <w:szCs w:val="20"/>
              </w:rPr>
            </w:pPr>
            <w:proofErr w:type="gramStart"/>
            <w:r>
              <w:rPr>
                <w:rFonts w:asciiTheme="majorHAnsi" w:hAnsiTheme="majorHAnsi"/>
                <w:sz w:val="20"/>
                <w:szCs w:val="20"/>
              </w:rPr>
              <w:t>13. .</w:t>
            </w:r>
            <w:proofErr w:type="gramEnd"/>
            <w:r>
              <w:rPr>
                <w:rFonts w:asciiTheme="majorHAnsi" w:hAnsiTheme="majorHAnsi"/>
                <w:sz w:val="20"/>
                <w:szCs w:val="20"/>
              </w:rPr>
              <w:t xml:space="preserve"> Emre Kadir ÖZEKENCİ</w:t>
            </w:r>
          </w:p>
        </w:tc>
        <w:tc>
          <w:tcPr>
            <w:tcW w:w="1421" w:type="dxa"/>
            <w:vAlign w:val="center"/>
          </w:tcPr>
          <w:p w:rsidR="00261FF7" w:rsidRPr="001F5300" w:rsidRDefault="002053FA" w:rsidP="00FD33ED">
            <w:pPr>
              <w:pStyle w:val="AralkYok"/>
              <w:spacing w:line="360" w:lineRule="auto"/>
              <w:rPr>
                <w:rFonts w:asciiTheme="majorHAnsi" w:hAnsiTheme="majorHAnsi"/>
                <w:sz w:val="20"/>
                <w:szCs w:val="20"/>
              </w:rPr>
            </w:pPr>
            <w:proofErr w:type="spellStart"/>
            <w:r>
              <w:rPr>
                <w:rFonts w:asciiTheme="majorHAnsi" w:hAnsiTheme="majorHAnsi"/>
                <w:sz w:val="20"/>
                <w:szCs w:val="20"/>
              </w:rPr>
              <w:t>Doç</w:t>
            </w:r>
            <w:proofErr w:type="spellEnd"/>
            <w:r>
              <w:rPr>
                <w:rFonts w:asciiTheme="majorHAnsi" w:hAnsiTheme="majorHAnsi"/>
                <w:sz w:val="20"/>
                <w:szCs w:val="20"/>
              </w:rPr>
              <w:t xml:space="preserve"> Dr. </w:t>
            </w:r>
          </w:p>
        </w:tc>
        <w:tc>
          <w:tcPr>
            <w:tcW w:w="1578"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053FA" w:rsidRPr="001F5300" w:rsidTr="002053FA">
        <w:trPr>
          <w:jc w:val="center"/>
        </w:trPr>
        <w:tc>
          <w:tcPr>
            <w:tcW w:w="2217" w:type="dxa"/>
            <w:vAlign w:val="center"/>
          </w:tcPr>
          <w:p w:rsidR="002053FA" w:rsidRPr="001F5300" w:rsidRDefault="002053FA" w:rsidP="002053FA">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 Anıl AY</w:t>
            </w:r>
          </w:p>
        </w:tc>
        <w:tc>
          <w:tcPr>
            <w:tcW w:w="1295"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14. Oğuzhan ÇAVUŞOĞLU</w:t>
            </w:r>
          </w:p>
        </w:tc>
        <w:tc>
          <w:tcPr>
            <w:tcW w:w="1421"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r w:rsidR="002053FA" w:rsidRPr="001F5300" w:rsidTr="002053FA">
        <w:trPr>
          <w:jc w:val="center"/>
        </w:trPr>
        <w:tc>
          <w:tcPr>
            <w:tcW w:w="2217" w:type="dxa"/>
            <w:vAlign w:val="center"/>
          </w:tcPr>
          <w:p w:rsidR="002053FA" w:rsidRPr="001F5300" w:rsidRDefault="002053FA" w:rsidP="002053FA">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Yonca BİR</w:t>
            </w:r>
          </w:p>
        </w:tc>
        <w:tc>
          <w:tcPr>
            <w:tcW w:w="1295"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15. Tuğçe KANDİLCİ</w:t>
            </w:r>
          </w:p>
        </w:tc>
        <w:tc>
          <w:tcPr>
            <w:tcW w:w="1421"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r w:rsidR="002053FA" w:rsidRPr="001F5300" w:rsidTr="002053FA">
        <w:trPr>
          <w:jc w:val="center"/>
        </w:trPr>
        <w:tc>
          <w:tcPr>
            <w:tcW w:w="2217" w:type="dxa"/>
            <w:vAlign w:val="center"/>
          </w:tcPr>
          <w:p w:rsidR="002053FA" w:rsidRPr="001F5300" w:rsidRDefault="002053FA" w:rsidP="002053FA">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Duygu GÜR</w:t>
            </w:r>
          </w:p>
        </w:tc>
        <w:tc>
          <w:tcPr>
            <w:tcW w:w="1295"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16.. Burcu DEMİROGLARI</w:t>
            </w:r>
          </w:p>
        </w:tc>
        <w:tc>
          <w:tcPr>
            <w:tcW w:w="1421"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KYK Uzmanı</w:t>
            </w: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r w:rsidR="002053FA" w:rsidRPr="001F5300" w:rsidTr="002053FA">
        <w:trPr>
          <w:trHeight w:val="688"/>
          <w:jc w:val="center"/>
        </w:trPr>
        <w:tc>
          <w:tcPr>
            <w:tcW w:w="2217" w:type="dxa"/>
            <w:vAlign w:val="center"/>
          </w:tcPr>
          <w:p w:rsidR="002053FA" w:rsidRPr="001F5300" w:rsidRDefault="002053FA" w:rsidP="002053FA">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Alper YILDIZ</w:t>
            </w:r>
          </w:p>
        </w:tc>
        <w:tc>
          <w:tcPr>
            <w:tcW w:w="1295"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Pr="001F5300" w:rsidRDefault="002053FA" w:rsidP="002053FA">
            <w:pPr>
              <w:pStyle w:val="AralkYok"/>
              <w:spacing w:line="360"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 xml:space="preserve">7. </w:t>
            </w:r>
            <w:r w:rsidRPr="001F5300">
              <w:rPr>
                <w:rFonts w:asciiTheme="majorHAnsi" w:hAnsiTheme="majorHAnsi"/>
                <w:sz w:val="20"/>
                <w:szCs w:val="20"/>
              </w:rPr>
              <w:t xml:space="preserve"> </w:t>
            </w:r>
            <w:r>
              <w:rPr>
                <w:rFonts w:asciiTheme="majorHAnsi" w:hAnsiTheme="majorHAnsi"/>
                <w:sz w:val="20"/>
                <w:szCs w:val="20"/>
              </w:rPr>
              <w:t>Pelin BATMAN</w:t>
            </w:r>
          </w:p>
        </w:tc>
        <w:tc>
          <w:tcPr>
            <w:tcW w:w="1421" w:type="dxa"/>
            <w:vAlign w:val="center"/>
          </w:tcPr>
          <w:p w:rsidR="002053FA" w:rsidRPr="001F5300" w:rsidRDefault="002053FA" w:rsidP="002053FA">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r w:rsidR="002053FA" w:rsidRPr="001F5300" w:rsidTr="002053FA">
        <w:trPr>
          <w:trHeight w:val="688"/>
          <w:jc w:val="center"/>
        </w:trPr>
        <w:tc>
          <w:tcPr>
            <w:tcW w:w="2217" w:type="dxa"/>
            <w:vAlign w:val="center"/>
          </w:tcPr>
          <w:p w:rsidR="002053FA" w:rsidRDefault="002053FA" w:rsidP="002053FA">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Tuğçe ARSLANPINAR TAT</w:t>
            </w:r>
          </w:p>
        </w:tc>
        <w:tc>
          <w:tcPr>
            <w:tcW w:w="1295"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18. Tolga ÇAY</w:t>
            </w:r>
          </w:p>
        </w:tc>
        <w:tc>
          <w:tcPr>
            <w:tcW w:w="1421"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r w:rsidR="002053FA" w:rsidRPr="001F5300" w:rsidTr="002053FA">
        <w:trPr>
          <w:trHeight w:val="688"/>
          <w:jc w:val="center"/>
        </w:trPr>
        <w:tc>
          <w:tcPr>
            <w:tcW w:w="2217" w:type="dxa"/>
            <w:vAlign w:val="center"/>
          </w:tcPr>
          <w:p w:rsidR="002053FA" w:rsidRDefault="002053FA" w:rsidP="002053FA">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Damla BAYINDIR</w:t>
            </w:r>
          </w:p>
        </w:tc>
        <w:tc>
          <w:tcPr>
            <w:tcW w:w="1295"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19. Dilara DEMİREZ</w:t>
            </w:r>
          </w:p>
        </w:tc>
        <w:tc>
          <w:tcPr>
            <w:tcW w:w="1421"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r w:rsidR="002053FA" w:rsidRPr="001F5300" w:rsidTr="002053FA">
        <w:trPr>
          <w:trHeight w:val="688"/>
          <w:jc w:val="center"/>
        </w:trPr>
        <w:tc>
          <w:tcPr>
            <w:tcW w:w="2217" w:type="dxa"/>
            <w:vAlign w:val="center"/>
          </w:tcPr>
          <w:p w:rsidR="002053FA" w:rsidRDefault="002053FA" w:rsidP="002053FA">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Ahmet Gökhan SÖKMEN</w:t>
            </w:r>
          </w:p>
        </w:tc>
        <w:tc>
          <w:tcPr>
            <w:tcW w:w="1295" w:type="dxa"/>
            <w:vAlign w:val="center"/>
          </w:tcPr>
          <w:p w:rsidR="002053FA" w:rsidRDefault="002053FA" w:rsidP="002053FA">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Default="002053FA" w:rsidP="002053FA">
            <w:pPr>
              <w:pStyle w:val="AralkYok"/>
              <w:spacing w:line="360" w:lineRule="auto"/>
              <w:rPr>
                <w:rFonts w:asciiTheme="majorHAnsi" w:hAnsiTheme="majorHAnsi"/>
                <w:sz w:val="20"/>
                <w:szCs w:val="20"/>
              </w:rPr>
            </w:pPr>
          </w:p>
        </w:tc>
        <w:tc>
          <w:tcPr>
            <w:tcW w:w="1421"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r w:rsidR="002053FA" w:rsidRPr="001F5300" w:rsidTr="002053FA">
        <w:trPr>
          <w:trHeight w:val="688"/>
          <w:jc w:val="center"/>
        </w:trPr>
        <w:tc>
          <w:tcPr>
            <w:tcW w:w="2217" w:type="dxa"/>
            <w:vAlign w:val="center"/>
          </w:tcPr>
          <w:p w:rsidR="002053FA" w:rsidRDefault="002053FA" w:rsidP="002053FA">
            <w:pPr>
              <w:pStyle w:val="AralkYok"/>
              <w:spacing w:line="360" w:lineRule="auto"/>
              <w:rPr>
                <w:rFonts w:asciiTheme="majorHAnsi" w:hAnsiTheme="majorHAnsi"/>
                <w:sz w:val="20"/>
                <w:szCs w:val="20"/>
              </w:rPr>
            </w:pPr>
          </w:p>
        </w:tc>
        <w:tc>
          <w:tcPr>
            <w:tcW w:w="1295" w:type="dxa"/>
            <w:vAlign w:val="center"/>
          </w:tcPr>
          <w:p w:rsidR="002053FA" w:rsidRDefault="002053FA" w:rsidP="002053FA">
            <w:pPr>
              <w:pStyle w:val="AralkYok"/>
              <w:spacing w:line="360" w:lineRule="auto"/>
              <w:rPr>
                <w:rFonts w:asciiTheme="majorHAnsi" w:hAnsiTheme="majorHAnsi"/>
                <w:sz w:val="20"/>
                <w:szCs w:val="20"/>
              </w:rPr>
            </w:pPr>
          </w:p>
        </w:tc>
        <w:tc>
          <w:tcPr>
            <w:tcW w:w="1577"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855"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421" w:type="dxa"/>
            <w:vAlign w:val="center"/>
          </w:tcPr>
          <w:p w:rsidR="002053FA" w:rsidRPr="001F5300" w:rsidRDefault="002053FA" w:rsidP="002053FA">
            <w:pPr>
              <w:pStyle w:val="AralkYok"/>
              <w:spacing w:line="360" w:lineRule="auto"/>
              <w:rPr>
                <w:rFonts w:asciiTheme="majorHAnsi" w:hAnsiTheme="majorHAnsi"/>
                <w:sz w:val="20"/>
                <w:szCs w:val="20"/>
              </w:rPr>
            </w:pPr>
          </w:p>
        </w:tc>
        <w:tc>
          <w:tcPr>
            <w:tcW w:w="1578" w:type="dxa"/>
            <w:vAlign w:val="center"/>
          </w:tcPr>
          <w:p w:rsidR="002053FA" w:rsidRPr="001F5300" w:rsidRDefault="002053FA" w:rsidP="002053FA">
            <w:pPr>
              <w:pStyle w:val="AralkYok"/>
              <w:spacing w:line="360" w:lineRule="auto"/>
              <w:rPr>
                <w:rFonts w:asciiTheme="majorHAnsi" w:hAnsiTheme="majorHAnsi"/>
                <w:sz w:val="20"/>
                <w:szCs w:val="20"/>
              </w:rPr>
            </w:pPr>
          </w:p>
        </w:tc>
      </w:tr>
    </w:tbl>
    <w:p w:rsidR="00A702C1" w:rsidRDefault="00A702C1" w:rsidP="001B318F">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F429C4" w:rsidRDefault="001B318F" w:rsidP="00F429C4">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sectPr w:rsidR="001B318F" w:rsidRPr="00F429C4"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11D9" w:rsidRDefault="006A11D9">
      <w:r>
        <w:separator/>
      </w:r>
    </w:p>
  </w:endnote>
  <w:endnote w:type="continuationSeparator" w:id="0">
    <w:p w:rsidR="006A11D9" w:rsidRDefault="006A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8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11D9" w:rsidRDefault="006A11D9">
      <w:r>
        <w:separator/>
      </w:r>
    </w:p>
  </w:footnote>
  <w:footnote w:type="continuationSeparator" w:id="0">
    <w:p w:rsidR="006A11D9" w:rsidRDefault="006A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7"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6D372B"/>
    <w:multiLevelType w:val="hybridMultilevel"/>
    <w:tmpl w:val="5FE8B4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7692842">
    <w:abstractNumId w:val="4"/>
  </w:num>
  <w:num w:numId="2" w16cid:durableId="1940676043">
    <w:abstractNumId w:val="6"/>
  </w:num>
  <w:num w:numId="3" w16cid:durableId="1686318854">
    <w:abstractNumId w:val="1"/>
  </w:num>
  <w:num w:numId="4" w16cid:durableId="1049187570">
    <w:abstractNumId w:val="5"/>
  </w:num>
  <w:num w:numId="5" w16cid:durableId="981234561">
    <w:abstractNumId w:val="2"/>
  </w:num>
  <w:num w:numId="6" w16cid:durableId="230579051">
    <w:abstractNumId w:val="3"/>
  </w:num>
  <w:num w:numId="7" w16cid:durableId="131212080">
    <w:abstractNumId w:val="7"/>
  </w:num>
  <w:num w:numId="8" w16cid:durableId="226458796">
    <w:abstractNumId w:val="0"/>
  </w:num>
  <w:num w:numId="9" w16cid:durableId="582177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91E68"/>
    <w:rsid w:val="00092724"/>
    <w:rsid w:val="000A3AA0"/>
    <w:rsid w:val="000A6771"/>
    <w:rsid w:val="000A766B"/>
    <w:rsid w:val="00126EDA"/>
    <w:rsid w:val="001B318F"/>
    <w:rsid w:val="001C2F78"/>
    <w:rsid w:val="001E4861"/>
    <w:rsid w:val="001F041B"/>
    <w:rsid w:val="001F5300"/>
    <w:rsid w:val="002053FA"/>
    <w:rsid w:val="00250AEA"/>
    <w:rsid w:val="00261FF7"/>
    <w:rsid w:val="00275474"/>
    <w:rsid w:val="002A518F"/>
    <w:rsid w:val="002C7DC2"/>
    <w:rsid w:val="00345C8A"/>
    <w:rsid w:val="003A17B9"/>
    <w:rsid w:val="003B5374"/>
    <w:rsid w:val="003D038B"/>
    <w:rsid w:val="003F1F4D"/>
    <w:rsid w:val="0040477B"/>
    <w:rsid w:val="00415F48"/>
    <w:rsid w:val="00423C03"/>
    <w:rsid w:val="00436C99"/>
    <w:rsid w:val="00450653"/>
    <w:rsid w:val="00462B6E"/>
    <w:rsid w:val="004D2C91"/>
    <w:rsid w:val="00504469"/>
    <w:rsid w:val="00540011"/>
    <w:rsid w:val="00582A41"/>
    <w:rsid w:val="005867A9"/>
    <w:rsid w:val="00591BA9"/>
    <w:rsid w:val="005A0610"/>
    <w:rsid w:val="0060546C"/>
    <w:rsid w:val="0062090D"/>
    <w:rsid w:val="00624C8B"/>
    <w:rsid w:val="0064649F"/>
    <w:rsid w:val="00652590"/>
    <w:rsid w:val="00695656"/>
    <w:rsid w:val="006A11D9"/>
    <w:rsid w:val="006B35F2"/>
    <w:rsid w:val="006C3210"/>
    <w:rsid w:val="006F4D01"/>
    <w:rsid w:val="00741429"/>
    <w:rsid w:val="00774ED1"/>
    <w:rsid w:val="00784D89"/>
    <w:rsid w:val="007B2C4C"/>
    <w:rsid w:val="007D3C81"/>
    <w:rsid w:val="00845169"/>
    <w:rsid w:val="00851E54"/>
    <w:rsid w:val="008A7959"/>
    <w:rsid w:val="008B4B22"/>
    <w:rsid w:val="008B7868"/>
    <w:rsid w:val="008E4582"/>
    <w:rsid w:val="009255C5"/>
    <w:rsid w:val="009B1F7F"/>
    <w:rsid w:val="009E4FF3"/>
    <w:rsid w:val="009F72DE"/>
    <w:rsid w:val="00A07500"/>
    <w:rsid w:val="00A24729"/>
    <w:rsid w:val="00A43676"/>
    <w:rsid w:val="00A526DA"/>
    <w:rsid w:val="00A702C1"/>
    <w:rsid w:val="00A74D8A"/>
    <w:rsid w:val="00AD1DD7"/>
    <w:rsid w:val="00B03151"/>
    <w:rsid w:val="00B742C8"/>
    <w:rsid w:val="00B77F7C"/>
    <w:rsid w:val="00BC7EE1"/>
    <w:rsid w:val="00C363DB"/>
    <w:rsid w:val="00D05424"/>
    <w:rsid w:val="00D32A35"/>
    <w:rsid w:val="00D3794B"/>
    <w:rsid w:val="00D50DA4"/>
    <w:rsid w:val="00E05D2C"/>
    <w:rsid w:val="00E52883"/>
    <w:rsid w:val="00E55820"/>
    <w:rsid w:val="00E70FBC"/>
    <w:rsid w:val="00EC2556"/>
    <w:rsid w:val="00ED4B44"/>
    <w:rsid w:val="00ED788B"/>
    <w:rsid w:val="00EF461C"/>
    <w:rsid w:val="00F0571B"/>
    <w:rsid w:val="00F429C4"/>
    <w:rsid w:val="00F505AE"/>
    <w:rsid w:val="00F840E0"/>
    <w:rsid w:val="00F84B65"/>
    <w:rsid w:val="00F963B7"/>
    <w:rsid w:val="00FC3D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86C11"/>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1851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743</Words>
  <Characters>4240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12</cp:revision>
  <cp:lastPrinted>2024-03-07T10:38:00Z</cp:lastPrinted>
  <dcterms:created xsi:type="dcterms:W3CDTF">2026-02-05T07:23:00Z</dcterms:created>
  <dcterms:modified xsi:type="dcterms:W3CDTF">2026-03-04T09:33:00Z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