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289" w:type="dxa"/>
        <w:tblLook w:val="04A0" w:firstRow="1" w:lastRow="0" w:firstColumn="1" w:lastColumn="0" w:noHBand="0" w:noVBand="1"/>
      </w:tblPr>
      <w:tblGrid>
        <w:gridCol w:w="3548"/>
        <w:gridCol w:w="3260"/>
        <w:gridCol w:w="3399"/>
      </w:tblGrid>
      <w:tr w:rsidR="0062090D" w:rsidRPr="00E97063" w:rsidTr="00ED5AAC">
        <w:tc>
          <w:tcPr>
            <w:tcW w:w="3548"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Sayısı</w:t>
            </w:r>
          </w:p>
        </w:tc>
        <w:tc>
          <w:tcPr>
            <w:tcW w:w="3260"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Karar Sayısı</w:t>
            </w:r>
          </w:p>
        </w:tc>
        <w:tc>
          <w:tcPr>
            <w:tcW w:w="3399"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Tarihi</w:t>
            </w:r>
          </w:p>
        </w:tc>
      </w:tr>
      <w:tr w:rsidR="0062090D" w:rsidRPr="00E97063" w:rsidTr="00ED5AAC">
        <w:tc>
          <w:tcPr>
            <w:tcW w:w="3548" w:type="dxa"/>
          </w:tcPr>
          <w:p w:rsidR="0062090D" w:rsidRPr="00E97063" w:rsidRDefault="0062090D" w:rsidP="00291884">
            <w:pPr>
              <w:rPr>
                <w:rFonts w:asciiTheme="majorHAnsi" w:hAnsiTheme="majorHAnsi"/>
                <w:sz w:val="20"/>
                <w:szCs w:val="20"/>
              </w:rPr>
            </w:pPr>
          </w:p>
        </w:tc>
        <w:tc>
          <w:tcPr>
            <w:tcW w:w="3260" w:type="dxa"/>
          </w:tcPr>
          <w:p w:rsidR="0062090D" w:rsidRPr="00E97063" w:rsidRDefault="003B0EAD" w:rsidP="00E94E2F">
            <w:pPr>
              <w:jc w:val="center"/>
              <w:rPr>
                <w:rFonts w:asciiTheme="majorHAnsi" w:hAnsiTheme="majorHAnsi"/>
                <w:sz w:val="20"/>
                <w:szCs w:val="20"/>
              </w:rPr>
            </w:pPr>
            <w:r>
              <w:rPr>
                <w:rFonts w:asciiTheme="majorHAnsi" w:hAnsiTheme="majorHAnsi"/>
                <w:sz w:val="20"/>
                <w:szCs w:val="20"/>
              </w:rPr>
              <w:t>8</w:t>
            </w:r>
          </w:p>
        </w:tc>
        <w:tc>
          <w:tcPr>
            <w:tcW w:w="3399" w:type="dxa"/>
          </w:tcPr>
          <w:p w:rsidR="0062090D" w:rsidRPr="00E97063" w:rsidRDefault="00ED5AAC" w:rsidP="00291884">
            <w:pPr>
              <w:jc w:val="center"/>
              <w:rPr>
                <w:rFonts w:asciiTheme="majorHAnsi" w:hAnsiTheme="majorHAnsi"/>
                <w:sz w:val="20"/>
                <w:szCs w:val="20"/>
              </w:rPr>
            </w:pPr>
            <w:r w:rsidRPr="00A0413E">
              <w:rPr>
                <w:rFonts w:asciiTheme="majorHAnsi" w:hAnsiTheme="majorHAnsi"/>
                <w:color w:val="000000" w:themeColor="text1"/>
                <w:sz w:val="20"/>
                <w:szCs w:val="20"/>
              </w:rPr>
              <w:t>0</w:t>
            </w:r>
            <w:r w:rsidR="00737DEA">
              <w:rPr>
                <w:rFonts w:asciiTheme="majorHAnsi" w:hAnsiTheme="majorHAnsi"/>
                <w:color w:val="000000" w:themeColor="text1"/>
                <w:sz w:val="20"/>
                <w:szCs w:val="20"/>
              </w:rPr>
              <w:t>5</w:t>
            </w:r>
            <w:r w:rsidRPr="00A0413E">
              <w:rPr>
                <w:rFonts w:asciiTheme="majorHAnsi" w:hAnsiTheme="majorHAnsi"/>
                <w:color w:val="000000" w:themeColor="text1"/>
                <w:sz w:val="20"/>
                <w:szCs w:val="20"/>
              </w:rPr>
              <w:t>.</w:t>
            </w:r>
            <w:r w:rsidR="00737DEA">
              <w:rPr>
                <w:rFonts w:asciiTheme="majorHAnsi" w:hAnsiTheme="majorHAnsi"/>
                <w:color w:val="000000" w:themeColor="text1"/>
                <w:sz w:val="20"/>
                <w:szCs w:val="20"/>
              </w:rPr>
              <w:t>01</w:t>
            </w:r>
            <w:r w:rsidRPr="00A0413E">
              <w:rPr>
                <w:rFonts w:asciiTheme="majorHAnsi" w:hAnsiTheme="majorHAnsi"/>
                <w:color w:val="000000" w:themeColor="text1"/>
                <w:sz w:val="20"/>
                <w:szCs w:val="20"/>
              </w:rPr>
              <w:t>.202</w:t>
            </w:r>
            <w:r w:rsidR="00737DEA">
              <w:rPr>
                <w:rFonts w:asciiTheme="majorHAnsi" w:hAnsiTheme="majorHAnsi"/>
                <w:color w:val="000000" w:themeColor="text1"/>
                <w:sz w:val="20"/>
                <w:szCs w:val="20"/>
              </w:rPr>
              <w:t>6</w:t>
            </w:r>
          </w:p>
        </w:tc>
      </w:tr>
    </w:tbl>
    <w:p w:rsidR="0062090D" w:rsidRPr="00E97063" w:rsidRDefault="0062090D" w:rsidP="00291884">
      <w:pPr>
        <w:rPr>
          <w:rFonts w:asciiTheme="majorHAnsi" w:hAnsiTheme="majorHAnsi"/>
          <w:sz w:val="20"/>
          <w:szCs w:val="20"/>
        </w:rPr>
      </w:pPr>
    </w:p>
    <w:tbl>
      <w:tblPr>
        <w:tblStyle w:val="TabloKlavuzu"/>
        <w:tblW w:w="10207" w:type="dxa"/>
        <w:tblInd w:w="-289" w:type="dxa"/>
        <w:tblLook w:val="04A0" w:firstRow="1" w:lastRow="0" w:firstColumn="1" w:lastColumn="0" w:noHBand="0" w:noVBand="1"/>
      </w:tblPr>
      <w:tblGrid>
        <w:gridCol w:w="5178"/>
        <w:gridCol w:w="5029"/>
      </w:tblGrid>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2021-2025 Dönemi Stratejik Plan Amaç ve Hedefleri</w:t>
            </w:r>
          </w:p>
        </w:tc>
        <w:tc>
          <w:tcPr>
            <w:tcW w:w="5029" w:type="dxa"/>
          </w:tcPr>
          <w:p w:rsidR="00280B6D" w:rsidRDefault="00ED5AAC" w:rsidP="00291884">
            <w:pPr>
              <w:rPr>
                <w:rFonts w:asciiTheme="majorHAnsi" w:hAnsiTheme="majorHAnsi"/>
                <w:sz w:val="20"/>
                <w:szCs w:val="20"/>
              </w:rPr>
            </w:pPr>
            <w:r w:rsidRPr="00E97063">
              <w:rPr>
                <w:rFonts w:asciiTheme="majorHAnsi" w:hAnsiTheme="majorHAnsi"/>
                <w:sz w:val="20"/>
                <w:szCs w:val="20"/>
              </w:rPr>
              <w:t>Karar 1: A.5., H.5.</w:t>
            </w:r>
            <w:r w:rsidR="00D607C8">
              <w:rPr>
                <w:rFonts w:asciiTheme="majorHAnsi" w:hAnsiTheme="majorHAnsi"/>
                <w:sz w:val="20"/>
                <w:szCs w:val="20"/>
              </w:rPr>
              <w:t>2</w:t>
            </w:r>
          </w:p>
          <w:p w:rsidR="00ED5AAC" w:rsidRDefault="00343B76" w:rsidP="00291884">
            <w:pPr>
              <w:rPr>
                <w:rFonts w:asciiTheme="majorHAnsi" w:hAnsiTheme="majorHAnsi"/>
                <w:sz w:val="20"/>
                <w:szCs w:val="20"/>
              </w:rPr>
            </w:pPr>
            <w:r w:rsidRPr="00E97063">
              <w:rPr>
                <w:rFonts w:asciiTheme="majorHAnsi" w:hAnsiTheme="majorHAnsi"/>
                <w:sz w:val="20"/>
                <w:szCs w:val="20"/>
              </w:rPr>
              <w:t xml:space="preserve">Karar </w:t>
            </w:r>
            <w:r w:rsidR="00D607C8">
              <w:rPr>
                <w:rFonts w:asciiTheme="majorHAnsi" w:hAnsiTheme="majorHAnsi"/>
                <w:sz w:val="20"/>
                <w:szCs w:val="20"/>
              </w:rPr>
              <w:t>2</w:t>
            </w:r>
            <w:r w:rsidRPr="00E97063">
              <w:rPr>
                <w:rFonts w:asciiTheme="majorHAnsi" w:hAnsiTheme="majorHAnsi"/>
                <w:sz w:val="20"/>
                <w:szCs w:val="20"/>
              </w:rPr>
              <w:t xml:space="preserve">: </w:t>
            </w:r>
            <w:r w:rsidR="00D24AF3" w:rsidRPr="00E97063">
              <w:rPr>
                <w:rFonts w:asciiTheme="majorHAnsi" w:hAnsiTheme="majorHAnsi"/>
                <w:sz w:val="20"/>
                <w:szCs w:val="20"/>
              </w:rPr>
              <w:t>A.5., H.5.</w:t>
            </w:r>
            <w:r w:rsidR="00D607C8">
              <w:rPr>
                <w:rFonts w:asciiTheme="majorHAnsi" w:hAnsiTheme="majorHAnsi"/>
                <w:sz w:val="20"/>
                <w:szCs w:val="20"/>
              </w:rPr>
              <w:t>2</w:t>
            </w:r>
            <w:r w:rsidR="00D24AF3" w:rsidRPr="00E97063">
              <w:rPr>
                <w:rFonts w:asciiTheme="majorHAnsi" w:hAnsiTheme="majorHAnsi"/>
                <w:sz w:val="20"/>
                <w:szCs w:val="20"/>
              </w:rPr>
              <w:t>.</w:t>
            </w:r>
          </w:p>
          <w:p w:rsidR="00F80036"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D24AF3">
              <w:rPr>
                <w:rFonts w:asciiTheme="majorHAnsi" w:hAnsiTheme="majorHAnsi"/>
                <w:sz w:val="20"/>
                <w:szCs w:val="20"/>
              </w:rPr>
              <w:t>4</w:t>
            </w:r>
            <w:r w:rsidRPr="00E97063">
              <w:rPr>
                <w:rFonts w:asciiTheme="majorHAnsi" w:hAnsiTheme="majorHAnsi"/>
                <w:sz w:val="20"/>
                <w:szCs w:val="20"/>
              </w:rPr>
              <w:t xml:space="preserve">: </w:t>
            </w:r>
            <w:r w:rsidR="00F80036" w:rsidRPr="00E97063">
              <w:rPr>
                <w:rFonts w:asciiTheme="majorHAnsi" w:hAnsiTheme="majorHAnsi"/>
                <w:sz w:val="20"/>
                <w:szCs w:val="20"/>
              </w:rPr>
              <w:t>A.5., H.5.</w:t>
            </w:r>
            <w:r w:rsidR="00A769F3">
              <w:rPr>
                <w:rFonts w:asciiTheme="majorHAnsi" w:hAnsiTheme="majorHAnsi"/>
                <w:sz w:val="20"/>
                <w:szCs w:val="20"/>
              </w:rPr>
              <w:t>4</w:t>
            </w:r>
            <w:r w:rsidR="00F80036" w:rsidRPr="00E97063">
              <w:rPr>
                <w:rFonts w:asciiTheme="majorHAnsi" w:hAnsiTheme="majorHAnsi"/>
                <w:sz w:val="20"/>
                <w:szCs w:val="20"/>
              </w:rPr>
              <w:t>.</w:t>
            </w:r>
          </w:p>
          <w:p w:rsidR="003A7E54" w:rsidRDefault="00E16594" w:rsidP="003A7E54">
            <w:pPr>
              <w:rPr>
                <w:rFonts w:asciiTheme="majorHAnsi" w:hAnsiTheme="majorHAnsi"/>
                <w:sz w:val="20"/>
                <w:szCs w:val="20"/>
              </w:rPr>
            </w:pPr>
            <w:r w:rsidRPr="00E97063">
              <w:rPr>
                <w:rFonts w:asciiTheme="majorHAnsi" w:hAnsiTheme="majorHAnsi"/>
                <w:sz w:val="20"/>
                <w:szCs w:val="20"/>
              </w:rPr>
              <w:t xml:space="preserve">Karar </w:t>
            </w:r>
            <w:r w:rsidR="00D607C8">
              <w:rPr>
                <w:rFonts w:asciiTheme="majorHAnsi" w:hAnsiTheme="majorHAnsi"/>
                <w:sz w:val="20"/>
                <w:szCs w:val="20"/>
              </w:rPr>
              <w:t>5</w:t>
            </w:r>
            <w:r w:rsidRPr="00E97063">
              <w:rPr>
                <w:rFonts w:asciiTheme="majorHAnsi" w:hAnsiTheme="majorHAnsi"/>
                <w:sz w:val="20"/>
                <w:szCs w:val="20"/>
              </w:rPr>
              <w:t>: A.5.</w:t>
            </w:r>
          </w:p>
          <w:p w:rsidR="003A7E54" w:rsidRDefault="003A7E54" w:rsidP="003A7E54">
            <w:pPr>
              <w:rPr>
                <w:rFonts w:asciiTheme="majorHAnsi" w:hAnsiTheme="majorHAnsi"/>
                <w:sz w:val="20"/>
                <w:szCs w:val="20"/>
              </w:rPr>
            </w:pPr>
            <w:r>
              <w:rPr>
                <w:rFonts w:asciiTheme="majorHAnsi" w:hAnsiTheme="majorHAnsi"/>
                <w:sz w:val="20"/>
                <w:szCs w:val="20"/>
              </w:rPr>
              <w:t>Karar 6:</w:t>
            </w:r>
            <w:r w:rsidR="0025205A" w:rsidRPr="00E97063">
              <w:rPr>
                <w:rFonts w:asciiTheme="majorHAnsi" w:hAnsiTheme="majorHAnsi"/>
                <w:sz w:val="20"/>
                <w:szCs w:val="20"/>
              </w:rPr>
              <w:t xml:space="preserve"> A.5., H.5.</w:t>
            </w:r>
            <w:r w:rsidR="0025205A">
              <w:rPr>
                <w:rFonts w:asciiTheme="majorHAnsi" w:hAnsiTheme="majorHAnsi"/>
                <w:sz w:val="20"/>
                <w:szCs w:val="20"/>
              </w:rPr>
              <w:t>2</w:t>
            </w:r>
            <w:r w:rsidR="0025205A" w:rsidRPr="00E97063">
              <w:rPr>
                <w:rFonts w:asciiTheme="majorHAnsi" w:hAnsiTheme="majorHAnsi"/>
                <w:sz w:val="20"/>
                <w:szCs w:val="20"/>
              </w:rPr>
              <w:t>.</w:t>
            </w:r>
            <w:r w:rsidR="0025205A">
              <w:rPr>
                <w:rFonts w:asciiTheme="majorHAnsi" w:hAnsiTheme="majorHAnsi"/>
                <w:sz w:val="20"/>
                <w:szCs w:val="20"/>
              </w:rPr>
              <w:t xml:space="preserve">, </w:t>
            </w:r>
            <w:r w:rsidR="0025205A" w:rsidRPr="00E97063">
              <w:rPr>
                <w:rFonts w:asciiTheme="majorHAnsi" w:hAnsiTheme="majorHAnsi"/>
                <w:sz w:val="20"/>
                <w:szCs w:val="20"/>
              </w:rPr>
              <w:t>H.5.</w:t>
            </w:r>
            <w:r w:rsidR="0025205A">
              <w:rPr>
                <w:rFonts w:asciiTheme="majorHAnsi" w:hAnsiTheme="majorHAnsi"/>
                <w:sz w:val="20"/>
                <w:szCs w:val="20"/>
              </w:rPr>
              <w:t>4</w:t>
            </w:r>
            <w:r w:rsidR="0025205A" w:rsidRPr="00E97063">
              <w:rPr>
                <w:rFonts w:asciiTheme="majorHAnsi" w:hAnsiTheme="majorHAnsi"/>
                <w:sz w:val="20"/>
                <w:szCs w:val="20"/>
              </w:rPr>
              <w:t>.</w:t>
            </w:r>
          </w:p>
          <w:p w:rsidR="003A7E54" w:rsidRDefault="003A7E54" w:rsidP="003A7E54">
            <w:pPr>
              <w:rPr>
                <w:rFonts w:asciiTheme="majorHAnsi" w:hAnsiTheme="majorHAnsi"/>
                <w:sz w:val="20"/>
                <w:szCs w:val="20"/>
              </w:rPr>
            </w:pPr>
            <w:r>
              <w:rPr>
                <w:rFonts w:asciiTheme="majorHAnsi" w:hAnsiTheme="majorHAnsi"/>
                <w:sz w:val="20"/>
                <w:szCs w:val="20"/>
              </w:rPr>
              <w:t>Karar 7:</w:t>
            </w:r>
            <w:r w:rsidR="0025205A" w:rsidRPr="00E97063">
              <w:rPr>
                <w:rFonts w:asciiTheme="majorHAnsi" w:hAnsiTheme="majorHAnsi"/>
                <w:sz w:val="20"/>
                <w:szCs w:val="20"/>
              </w:rPr>
              <w:t xml:space="preserve"> A.5., H.5.</w:t>
            </w:r>
            <w:r w:rsidR="0025205A">
              <w:rPr>
                <w:rFonts w:asciiTheme="majorHAnsi" w:hAnsiTheme="majorHAnsi"/>
                <w:sz w:val="20"/>
                <w:szCs w:val="20"/>
              </w:rPr>
              <w:t>2</w:t>
            </w:r>
            <w:r w:rsidR="0025205A" w:rsidRPr="00E97063">
              <w:rPr>
                <w:rFonts w:asciiTheme="majorHAnsi" w:hAnsiTheme="majorHAnsi"/>
                <w:sz w:val="20"/>
                <w:szCs w:val="20"/>
              </w:rPr>
              <w:t>.</w:t>
            </w:r>
            <w:r w:rsidR="0025205A">
              <w:rPr>
                <w:rFonts w:asciiTheme="majorHAnsi" w:hAnsiTheme="majorHAnsi"/>
                <w:sz w:val="20"/>
                <w:szCs w:val="20"/>
              </w:rPr>
              <w:t xml:space="preserve">, </w:t>
            </w:r>
            <w:r w:rsidR="0025205A" w:rsidRPr="00E97063">
              <w:rPr>
                <w:rFonts w:asciiTheme="majorHAnsi" w:hAnsiTheme="majorHAnsi"/>
                <w:sz w:val="20"/>
                <w:szCs w:val="20"/>
              </w:rPr>
              <w:t>H.5.</w:t>
            </w:r>
            <w:r w:rsidR="0025205A">
              <w:rPr>
                <w:rFonts w:asciiTheme="majorHAnsi" w:hAnsiTheme="majorHAnsi"/>
                <w:sz w:val="20"/>
                <w:szCs w:val="20"/>
              </w:rPr>
              <w:t>4</w:t>
            </w:r>
            <w:r w:rsidR="0025205A" w:rsidRPr="00E97063">
              <w:rPr>
                <w:rFonts w:asciiTheme="majorHAnsi" w:hAnsiTheme="majorHAnsi"/>
                <w:sz w:val="20"/>
                <w:szCs w:val="20"/>
              </w:rPr>
              <w:t>.</w:t>
            </w:r>
          </w:p>
          <w:p w:rsidR="003B0EAD" w:rsidRPr="00E97063" w:rsidRDefault="003B0EAD" w:rsidP="003A7E54">
            <w:pPr>
              <w:rPr>
                <w:rFonts w:asciiTheme="majorHAnsi" w:hAnsiTheme="majorHAnsi"/>
                <w:sz w:val="20"/>
                <w:szCs w:val="20"/>
              </w:rPr>
            </w:pPr>
            <w:r>
              <w:rPr>
                <w:rFonts w:asciiTheme="majorHAnsi" w:hAnsiTheme="majorHAnsi"/>
                <w:sz w:val="20"/>
                <w:szCs w:val="20"/>
              </w:rPr>
              <w:t xml:space="preserve">Karar 8: </w:t>
            </w:r>
            <w:r w:rsidRPr="00E97063">
              <w:rPr>
                <w:rFonts w:asciiTheme="majorHAnsi" w:hAnsiTheme="majorHAnsi"/>
                <w:sz w:val="20"/>
                <w:szCs w:val="20"/>
              </w:rPr>
              <w:t>A.5.</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Yükseköğretim Kalite Alt Ölçütü</w:t>
            </w:r>
          </w:p>
        </w:tc>
        <w:tc>
          <w:tcPr>
            <w:tcW w:w="5029" w:type="dxa"/>
          </w:tcPr>
          <w:p w:rsidR="0062090D" w:rsidRDefault="00ED5AAC" w:rsidP="00291884">
            <w:pPr>
              <w:rPr>
                <w:rFonts w:asciiTheme="majorHAnsi" w:hAnsiTheme="majorHAnsi"/>
                <w:sz w:val="20"/>
                <w:szCs w:val="20"/>
              </w:rPr>
            </w:pPr>
            <w:r w:rsidRPr="00E97063">
              <w:rPr>
                <w:rFonts w:asciiTheme="majorHAnsi" w:hAnsiTheme="majorHAnsi"/>
                <w:sz w:val="20"/>
                <w:szCs w:val="20"/>
              </w:rPr>
              <w:t xml:space="preserve">Karar 1: </w:t>
            </w:r>
            <w:r w:rsidR="00D607C8">
              <w:rPr>
                <w:rFonts w:asciiTheme="majorHAnsi" w:hAnsiTheme="majorHAnsi"/>
                <w:sz w:val="20"/>
                <w:szCs w:val="20"/>
              </w:rPr>
              <w:t xml:space="preserve">A.3., </w:t>
            </w:r>
            <w:r w:rsidRPr="00E97063">
              <w:rPr>
                <w:rFonts w:asciiTheme="majorHAnsi" w:hAnsiTheme="majorHAnsi"/>
                <w:sz w:val="20"/>
                <w:szCs w:val="20"/>
              </w:rPr>
              <w:t>A</w:t>
            </w:r>
            <w:r w:rsidR="00D607C8">
              <w:rPr>
                <w:rFonts w:asciiTheme="majorHAnsi" w:hAnsiTheme="majorHAnsi"/>
                <w:sz w:val="20"/>
                <w:szCs w:val="20"/>
              </w:rPr>
              <w:t>.3</w:t>
            </w:r>
            <w:r w:rsidRPr="00E97063">
              <w:rPr>
                <w:rFonts w:asciiTheme="majorHAnsi" w:hAnsiTheme="majorHAnsi"/>
                <w:sz w:val="20"/>
                <w:szCs w:val="20"/>
              </w:rPr>
              <w:t>.</w:t>
            </w:r>
            <w:r w:rsidR="00D607C8">
              <w:rPr>
                <w:rFonts w:asciiTheme="majorHAnsi" w:hAnsiTheme="majorHAnsi"/>
                <w:sz w:val="20"/>
                <w:szCs w:val="20"/>
              </w:rPr>
              <w:t>2</w:t>
            </w:r>
            <w:r w:rsidRPr="00E97063">
              <w:rPr>
                <w:rFonts w:asciiTheme="majorHAnsi" w:hAnsiTheme="majorHAnsi"/>
                <w:sz w:val="20"/>
                <w:szCs w:val="20"/>
              </w:rPr>
              <w:t xml:space="preserve">., </w:t>
            </w:r>
            <w:r w:rsidR="002C6E61">
              <w:rPr>
                <w:rFonts w:asciiTheme="majorHAnsi" w:hAnsiTheme="majorHAnsi"/>
                <w:sz w:val="20"/>
                <w:szCs w:val="20"/>
              </w:rPr>
              <w:t>A.</w:t>
            </w:r>
            <w:r w:rsidR="00D607C8">
              <w:rPr>
                <w:rFonts w:asciiTheme="majorHAnsi" w:hAnsiTheme="majorHAnsi"/>
                <w:sz w:val="20"/>
                <w:szCs w:val="20"/>
              </w:rPr>
              <w:t>4., A.4</w:t>
            </w:r>
            <w:r w:rsidR="002C6E61">
              <w:rPr>
                <w:rFonts w:asciiTheme="majorHAnsi" w:hAnsiTheme="majorHAnsi"/>
                <w:sz w:val="20"/>
                <w:szCs w:val="20"/>
              </w:rPr>
              <w:t>.</w:t>
            </w:r>
            <w:r w:rsidR="00280B6D">
              <w:rPr>
                <w:rFonts w:asciiTheme="majorHAnsi" w:hAnsiTheme="majorHAnsi"/>
                <w:sz w:val="20"/>
                <w:szCs w:val="20"/>
              </w:rPr>
              <w:t>2</w:t>
            </w:r>
            <w:r w:rsidRPr="00E97063">
              <w:rPr>
                <w:rFonts w:asciiTheme="majorHAnsi" w:hAnsiTheme="majorHAnsi"/>
                <w:sz w:val="20"/>
                <w:szCs w:val="20"/>
              </w:rPr>
              <w:t>.</w:t>
            </w:r>
            <w:r w:rsidR="00D12E15">
              <w:rPr>
                <w:rFonts w:asciiTheme="majorHAnsi" w:hAnsiTheme="majorHAnsi"/>
                <w:sz w:val="20"/>
                <w:szCs w:val="20"/>
              </w:rPr>
              <w:t xml:space="preserve"> B.2., B.2.2.</w:t>
            </w:r>
          </w:p>
          <w:p w:rsidR="00343B76" w:rsidRDefault="00343B76" w:rsidP="00291884">
            <w:pPr>
              <w:rPr>
                <w:rFonts w:asciiTheme="majorHAnsi" w:hAnsiTheme="majorHAnsi"/>
                <w:sz w:val="20"/>
                <w:szCs w:val="20"/>
              </w:rPr>
            </w:pPr>
            <w:r w:rsidRPr="00E97063">
              <w:rPr>
                <w:rFonts w:asciiTheme="majorHAnsi" w:hAnsiTheme="majorHAnsi"/>
                <w:sz w:val="20"/>
                <w:szCs w:val="20"/>
              </w:rPr>
              <w:t xml:space="preserve">Karar </w:t>
            </w:r>
            <w:r w:rsidR="00E70FB0">
              <w:rPr>
                <w:rFonts w:asciiTheme="majorHAnsi" w:hAnsiTheme="majorHAnsi"/>
                <w:sz w:val="20"/>
                <w:szCs w:val="20"/>
              </w:rPr>
              <w:t>2</w:t>
            </w:r>
            <w:r w:rsidRPr="00E97063">
              <w:rPr>
                <w:rFonts w:asciiTheme="majorHAnsi" w:hAnsiTheme="majorHAnsi"/>
                <w:sz w:val="20"/>
                <w:szCs w:val="20"/>
              </w:rPr>
              <w:t xml:space="preserve">: </w:t>
            </w:r>
            <w:r w:rsidR="00E70FB0">
              <w:rPr>
                <w:rFonts w:asciiTheme="majorHAnsi" w:hAnsiTheme="majorHAnsi"/>
                <w:sz w:val="20"/>
                <w:szCs w:val="20"/>
              </w:rPr>
              <w:t xml:space="preserve">A.3., </w:t>
            </w:r>
            <w:r w:rsidR="00E70FB0" w:rsidRPr="00E97063">
              <w:rPr>
                <w:rFonts w:asciiTheme="majorHAnsi" w:hAnsiTheme="majorHAnsi"/>
                <w:sz w:val="20"/>
                <w:szCs w:val="20"/>
              </w:rPr>
              <w:t>A</w:t>
            </w:r>
            <w:r w:rsidR="00E70FB0">
              <w:rPr>
                <w:rFonts w:asciiTheme="majorHAnsi" w:hAnsiTheme="majorHAnsi"/>
                <w:sz w:val="20"/>
                <w:szCs w:val="20"/>
              </w:rPr>
              <w:t>.3</w:t>
            </w:r>
            <w:r w:rsidR="00E70FB0" w:rsidRPr="00E97063">
              <w:rPr>
                <w:rFonts w:asciiTheme="majorHAnsi" w:hAnsiTheme="majorHAnsi"/>
                <w:sz w:val="20"/>
                <w:szCs w:val="20"/>
              </w:rPr>
              <w:t>.</w:t>
            </w:r>
            <w:r w:rsidR="00E70FB0">
              <w:rPr>
                <w:rFonts w:asciiTheme="majorHAnsi" w:hAnsiTheme="majorHAnsi"/>
                <w:sz w:val="20"/>
                <w:szCs w:val="20"/>
              </w:rPr>
              <w:t>2</w:t>
            </w:r>
            <w:r w:rsidR="00E70FB0" w:rsidRPr="00E97063">
              <w:rPr>
                <w:rFonts w:asciiTheme="majorHAnsi" w:hAnsiTheme="majorHAnsi"/>
                <w:sz w:val="20"/>
                <w:szCs w:val="20"/>
              </w:rPr>
              <w:t xml:space="preserve">., </w:t>
            </w:r>
            <w:r w:rsidR="00E70FB0">
              <w:rPr>
                <w:rFonts w:asciiTheme="majorHAnsi" w:hAnsiTheme="majorHAnsi"/>
                <w:sz w:val="20"/>
                <w:szCs w:val="20"/>
              </w:rPr>
              <w:t>A.4., A.4.2</w:t>
            </w:r>
            <w:r w:rsidR="00E70FB0" w:rsidRPr="00E97063">
              <w:rPr>
                <w:rFonts w:asciiTheme="majorHAnsi" w:hAnsiTheme="majorHAnsi"/>
                <w:sz w:val="20"/>
                <w:szCs w:val="20"/>
              </w:rPr>
              <w:t>.</w:t>
            </w:r>
            <w:r w:rsidR="00D12E15">
              <w:rPr>
                <w:rFonts w:asciiTheme="majorHAnsi" w:hAnsiTheme="majorHAnsi"/>
                <w:sz w:val="20"/>
                <w:szCs w:val="20"/>
              </w:rPr>
              <w:t xml:space="preserve"> B.2., B.2.2.</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562F6C">
              <w:rPr>
                <w:rFonts w:asciiTheme="majorHAnsi" w:hAnsiTheme="majorHAnsi"/>
                <w:sz w:val="20"/>
                <w:szCs w:val="20"/>
              </w:rPr>
              <w:t>4</w:t>
            </w:r>
            <w:r w:rsidRPr="00E97063">
              <w:rPr>
                <w:rFonts w:asciiTheme="majorHAnsi" w:hAnsiTheme="majorHAnsi"/>
                <w:sz w:val="20"/>
                <w:szCs w:val="20"/>
              </w:rPr>
              <w:t xml:space="preserve">: </w:t>
            </w:r>
            <w:r w:rsidR="004A4128">
              <w:rPr>
                <w:rFonts w:asciiTheme="majorHAnsi" w:hAnsiTheme="majorHAnsi"/>
                <w:sz w:val="20"/>
                <w:szCs w:val="20"/>
              </w:rPr>
              <w:t xml:space="preserve">A.1., A.1.3., </w:t>
            </w:r>
            <w:r w:rsidRPr="00E97063">
              <w:rPr>
                <w:rFonts w:asciiTheme="majorHAnsi" w:hAnsiTheme="majorHAnsi"/>
                <w:sz w:val="20"/>
                <w:szCs w:val="20"/>
              </w:rPr>
              <w:t xml:space="preserve">A.1.4., </w:t>
            </w:r>
            <w:r w:rsidR="002C6E61">
              <w:rPr>
                <w:rFonts w:asciiTheme="majorHAnsi" w:hAnsiTheme="majorHAnsi"/>
                <w:sz w:val="20"/>
                <w:szCs w:val="20"/>
              </w:rPr>
              <w:t>A</w:t>
            </w:r>
            <w:r w:rsidRPr="00E97063">
              <w:rPr>
                <w:rFonts w:asciiTheme="majorHAnsi" w:hAnsiTheme="majorHAnsi"/>
                <w:sz w:val="20"/>
                <w:szCs w:val="20"/>
              </w:rPr>
              <w:t>.1.5.</w:t>
            </w:r>
          </w:p>
          <w:p w:rsidR="00A0413E" w:rsidRDefault="006C75DE" w:rsidP="003A7E54">
            <w:pPr>
              <w:rPr>
                <w:rFonts w:asciiTheme="majorHAnsi" w:hAnsiTheme="majorHAnsi"/>
                <w:sz w:val="20"/>
                <w:szCs w:val="20"/>
              </w:rPr>
            </w:pPr>
            <w:r w:rsidRPr="00E97063">
              <w:rPr>
                <w:rFonts w:asciiTheme="majorHAnsi" w:hAnsiTheme="majorHAnsi"/>
                <w:sz w:val="20"/>
                <w:szCs w:val="20"/>
              </w:rPr>
              <w:t xml:space="preserve">Karar </w:t>
            </w:r>
            <w:r w:rsidR="00D607C8">
              <w:rPr>
                <w:rFonts w:asciiTheme="majorHAnsi" w:hAnsiTheme="majorHAnsi"/>
                <w:sz w:val="20"/>
                <w:szCs w:val="20"/>
              </w:rPr>
              <w:t>5</w:t>
            </w:r>
            <w:r w:rsidRPr="00E97063">
              <w:rPr>
                <w:rFonts w:asciiTheme="majorHAnsi" w:hAnsiTheme="majorHAnsi"/>
                <w:sz w:val="20"/>
                <w:szCs w:val="20"/>
              </w:rPr>
              <w:t>:</w:t>
            </w:r>
            <w:r w:rsidR="005C0626" w:rsidRPr="00E97063">
              <w:rPr>
                <w:rFonts w:asciiTheme="majorHAnsi" w:hAnsiTheme="majorHAnsi" w:cs="Times New Roman"/>
                <w:sz w:val="20"/>
                <w:szCs w:val="20"/>
              </w:rPr>
              <w:t xml:space="preserve"> </w:t>
            </w:r>
            <w:r w:rsidR="004A4128">
              <w:rPr>
                <w:rFonts w:asciiTheme="majorHAnsi" w:hAnsiTheme="majorHAnsi"/>
                <w:sz w:val="20"/>
                <w:szCs w:val="20"/>
              </w:rPr>
              <w:t xml:space="preserve">A.1., A.1.3., </w:t>
            </w:r>
            <w:r w:rsidR="004A4128" w:rsidRPr="00E97063">
              <w:rPr>
                <w:rFonts w:asciiTheme="majorHAnsi" w:hAnsiTheme="majorHAnsi"/>
                <w:sz w:val="20"/>
                <w:szCs w:val="20"/>
              </w:rPr>
              <w:t xml:space="preserve">A.1.4., </w:t>
            </w:r>
            <w:r w:rsidR="004A4128">
              <w:rPr>
                <w:rFonts w:asciiTheme="majorHAnsi" w:hAnsiTheme="majorHAnsi"/>
                <w:sz w:val="20"/>
                <w:szCs w:val="20"/>
              </w:rPr>
              <w:t>A</w:t>
            </w:r>
            <w:r w:rsidR="004A4128" w:rsidRPr="00E97063">
              <w:rPr>
                <w:rFonts w:asciiTheme="majorHAnsi" w:hAnsiTheme="majorHAnsi"/>
                <w:sz w:val="20"/>
                <w:szCs w:val="20"/>
              </w:rPr>
              <w:t>.1.5.</w:t>
            </w:r>
          </w:p>
          <w:p w:rsidR="003A7E54" w:rsidRDefault="003A7E54" w:rsidP="003A7E54">
            <w:pPr>
              <w:rPr>
                <w:rFonts w:asciiTheme="majorHAnsi" w:hAnsiTheme="majorHAnsi"/>
                <w:sz w:val="20"/>
                <w:szCs w:val="20"/>
              </w:rPr>
            </w:pPr>
            <w:r>
              <w:rPr>
                <w:rFonts w:asciiTheme="majorHAnsi" w:hAnsiTheme="majorHAnsi"/>
                <w:sz w:val="20"/>
                <w:szCs w:val="20"/>
              </w:rPr>
              <w:t>Karar 6:</w:t>
            </w:r>
            <w:r w:rsidR="0025205A">
              <w:rPr>
                <w:rFonts w:asciiTheme="majorHAnsi" w:hAnsiTheme="majorHAnsi"/>
                <w:sz w:val="20"/>
                <w:szCs w:val="20"/>
              </w:rPr>
              <w:t xml:space="preserve"> A.3., </w:t>
            </w:r>
            <w:r w:rsidR="0025205A" w:rsidRPr="00E97063">
              <w:rPr>
                <w:rFonts w:asciiTheme="majorHAnsi" w:hAnsiTheme="majorHAnsi"/>
                <w:sz w:val="20"/>
                <w:szCs w:val="20"/>
              </w:rPr>
              <w:t>A</w:t>
            </w:r>
            <w:r w:rsidR="0025205A">
              <w:rPr>
                <w:rFonts w:asciiTheme="majorHAnsi" w:hAnsiTheme="majorHAnsi"/>
                <w:sz w:val="20"/>
                <w:szCs w:val="20"/>
              </w:rPr>
              <w:t>.3</w:t>
            </w:r>
            <w:r w:rsidR="0025205A" w:rsidRPr="00E97063">
              <w:rPr>
                <w:rFonts w:asciiTheme="majorHAnsi" w:hAnsiTheme="majorHAnsi"/>
                <w:sz w:val="20"/>
                <w:szCs w:val="20"/>
              </w:rPr>
              <w:t>.</w:t>
            </w:r>
            <w:r w:rsidR="0025205A">
              <w:rPr>
                <w:rFonts w:asciiTheme="majorHAnsi" w:hAnsiTheme="majorHAnsi"/>
                <w:sz w:val="20"/>
                <w:szCs w:val="20"/>
              </w:rPr>
              <w:t>2</w:t>
            </w:r>
            <w:r w:rsidR="0025205A" w:rsidRPr="00E97063">
              <w:rPr>
                <w:rFonts w:asciiTheme="majorHAnsi" w:hAnsiTheme="majorHAnsi"/>
                <w:sz w:val="20"/>
                <w:szCs w:val="20"/>
              </w:rPr>
              <w:t xml:space="preserve">., </w:t>
            </w:r>
            <w:r w:rsidR="0025205A">
              <w:rPr>
                <w:rFonts w:asciiTheme="majorHAnsi" w:hAnsiTheme="majorHAnsi"/>
                <w:sz w:val="20"/>
                <w:szCs w:val="20"/>
              </w:rPr>
              <w:t>A.4., A.4.2</w:t>
            </w:r>
            <w:r w:rsidR="0025205A" w:rsidRPr="00E97063">
              <w:rPr>
                <w:rFonts w:asciiTheme="majorHAnsi" w:hAnsiTheme="majorHAnsi"/>
                <w:sz w:val="20"/>
                <w:szCs w:val="20"/>
              </w:rPr>
              <w:t>.</w:t>
            </w:r>
            <w:r w:rsidR="0025205A">
              <w:rPr>
                <w:rFonts w:asciiTheme="majorHAnsi" w:hAnsiTheme="majorHAnsi"/>
                <w:sz w:val="20"/>
                <w:szCs w:val="20"/>
              </w:rPr>
              <w:t xml:space="preserve"> B.2., B.2.2.</w:t>
            </w:r>
          </w:p>
          <w:p w:rsidR="003A7E54" w:rsidRDefault="003A7E54" w:rsidP="003A7E54">
            <w:pPr>
              <w:rPr>
                <w:rFonts w:asciiTheme="majorHAnsi" w:hAnsiTheme="majorHAnsi"/>
                <w:sz w:val="20"/>
                <w:szCs w:val="20"/>
              </w:rPr>
            </w:pPr>
            <w:r>
              <w:rPr>
                <w:rFonts w:asciiTheme="majorHAnsi" w:hAnsiTheme="majorHAnsi"/>
                <w:sz w:val="20"/>
                <w:szCs w:val="20"/>
              </w:rPr>
              <w:t>Karar 7:</w:t>
            </w:r>
            <w:r w:rsidR="0025205A">
              <w:rPr>
                <w:rFonts w:asciiTheme="majorHAnsi" w:hAnsiTheme="majorHAnsi"/>
                <w:sz w:val="20"/>
                <w:szCs w:val="20"/>
              </w:rPr>
              <w:t xml:space="preserve"> A.3., </w:t>
            </w:r>
            <w:r w:rsidR="0025205A" w:rsidRPr="00E97063">
              <w:rPr>
                <w:rFonts w:asciiTheme="majorHAnsi" w:hAnsiTheme="majorHAnsi"/>
                <w:sz w:val="20"/>
                <w:szCs w:val="20"/>
              </w:rPr>
              <w:t>A</w:t>
            </w:r>
            <w:r w:rsidR="0025205A">
              <w:rPr>
                <w:rFonts w:asciiTheme="majorHAnsi" w:hAnsiTheme="majorHAnsi"/>
                <w:sz w:val="20"/>
                <w:szCs w:val="20"/>
              </w:rPr>
              <w:t>.3</w:t>
            </w:r>
            <w:r w:rsidR="0025205A" w:rsidRPr="00E97063">
              <w:rPr>
                <w:rFonts w:asciiTheme="majorHAnsi" w:hAnsiTheme="majorHAnsi"/>
                <w:sz w:val="20"/>
                <w:szCs w:val="20"/>
              </w:rPr>
              <w:t>.</w:t>
            </w:r>
            <w:r w:rsidR="0025205A">
              <w:rPr>
                <w:rFonts w:asciiTheme="majorHAnsi" w:hAnsiTheme="majorHAnsi"/>
                <w:sz w:val="20"/>
                <w:szCs w:val="20"/>
              </w:rPr>
              <w:t>2</w:t>
            </w:r>
            <w:r w:rsidR="0025205A" w:rsidRPr="00E97063">
              <w:rPr>
                <w:rFonts w:asciiTheme="majorHAnsi" w:hAnsiTheme="majorHAnsi"/>
                <w:sz w:val="20"/>
                <w:szCs w:val="20"/>
              </w:rPr>
              <w:t xml:space="preserve">., </w:t>
            </w:r>
            <w:r w:rsidR="0025205A">
              <w:rPr>
                <w:rFonts w:asciiTheme="majorHAnsi" w:hAnsiTheme="majorHAnsi"/>
                <w:sz w:val="20"/>
                <w:szCs w:val="20"/>
              </w:rPr>
              <w:t>A.4., A.4.2</w:t>
            </w:r>
            <w:r w:rsidR="0025205A" w:rsidRPr="00E97063">
              <w:rPr>
                <w:rFonts w:asciiTheme="majorHAnsi" w:hAnsiTheme="majorHAnsi"/>
                <w:sz w:val="20"/>
                <w:szCs w:val="20"/>
              </w:rPr>
              <w:t>.</w:t>
            </w:r>
            <w:r w:rsidR="0025205A">
              <w:rPr>
                <w:rFonts w:asciiTheme="majorHAnsi" w:hAnsiTheme="majorHAnsi"/>
                <w:sz w:val="20"/>
                <w:szCs w:val="20"/>
              </w:rPr>
              <w:t xml:space="preserve"> B.2., B.2.2.</w:t>
            </w:r>
          </w:p>
          <w:p w:rsidR="003B0EAD" w:rsidRPr="00E97063" w:rsidRDefault="003B0EAD" w:rsidP="003A7E54">
            <w:pPr>
              <w:rPr>
                <w:rFonts w:asciiTheme="majorHAnsi" w:hAnsiTheme="majorHAnsi"/>
                <w:sz w:val="20"/>
                <w:szCs w:val="20"/>
              </w:rPr>
            </w:pPr>
            <w:r>
              <w:rPr>
                <w:rFonts w:asciiTheme="majorHAnsi" w:hAnsiTheme="majorHAnsi"/>
                <w:sz w:val="20"/>
                <w:szCs w:val="20"/>
              </w:rPr>
              <w:t>Karar 8: A.3.</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Sürdürülebilir Kalkınma Amacı</w:t>
            </w:r>
          </w:p>
        </w:tc>
        <w:tc>
          <w:tcPr>
            <w:tcW w:w="5029" w:type="dxa"/>
          </w:tcPr>
          <w:p w:rsidR="0062090D" w:rsidRDefault="007C4FA9" w:rsidP="00291884">
            <w:pPr>
              <w:rPr>
                <w:rFonts w:asciiTheme="majorHAnsi" w:hAnsiTheme="majorHAnsi"/>
                <w:sz w:val="20"/>
                <w:szCs w:val="20"/>
              </w:rPr>
            </w:pPr>
            <w:r w:rsidRPr="00E97063">
              <w:rPr>
                <w:rFonts w:asciiTheme="majorHAnsi" w:hAnsiTheme="majorHAnsi"/>
                <w:sz w:val="20"/>
                <w:szCs w:val="20"/>
              </w:rPr>
              <w:t>Karar 1: SKA 4</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2</w:t>
            </w:r>
            <w:r w:rsidRPr="00E97063">
              <w:rPr>
                <w:rFonts w:asciiTheme="majorHAnsi" w:hAnsiTheme="majorHAnsi"/>
                <w:sz w:val="20"/>
                <w:szCs w:val="20"/>
              </w:rPr>
              <w:t xml:space="preserve">: </w:t>
            </w:r>
            <w:r w:rsidR="00F101F6" w:rsidRPr="00E97063">
              <w:rPr>
                <w:rFonts w:asciiTheme="majorHAnsi" w:hAnsiTheme="majorHAnsi"/>
                <w:sz w:val="20"/>
                <w:szCs w:val="20"/>
              </w:rPr>
              <w:t>SKA 4</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3</w:t>
            </w:r>
            <w:r w:rsidRPr="00E97063">
              <w:rPr>
                <w:rFonts w:asciiTheme="majorHAnsi" w:hAnsiTheme="majorHAnsi"/>
                <w:sz w:val="20"/>
                <w:szCs w:val="20"/>
              </w:rPr>
              <w:t>: SKA 4</w:t>
            </w:r>
          </w:p>
          <w:p w:rsidR="006C75DE" w:rsidRDefault="006C75DE" w:rsidP="006C75DE">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4</w:t>
            </w:r>
            <w:r w:rsidRPr="00E97063">
              <w:rPr>
                <w:rFonts w:asciiTheme="majorHAnsi" w:hAnsiTheme="majorHAnsi"/>
                <w:sz w:val="20"/>
                <w:szCs w:val="20"/>
              </w:rPr>
              <w:t>:</w:t>
            </w:r>
            <w:r w:rsidR="005C0626" w:rsidRPr="00E97063">
              <w:rPr>
                <w:rFonts w:asciiTheme="majorHAnsi" w:hAnsiTheme="majorHAnsi"/>
                <w:sz w:val="20"/>
                <w:szCs w:val="20"/>
              </w:rPr>
              <w:t xml:space="preserve"> SKA 4,</w:t>
            </w:r>
            <w:r w:rsidR="004A4128">
              <w:rPr>
                <w:rFonts w:asciiTheme="majorHAnsi" w:hAnsiTheme="majorHAnsi"/>
                <w:sz w:val="20"/>
                <w:szCs w:val="20"/>
              </w:rPr>
              <w:t xml:space="preserve"> </w:t>
            </w:r>
            <w:r w:rsidR="005C0626" w:rsidRPr="00E97063">
              <w:rPr>
                <w:rFonts w:asciiTheme="majorHAnsi" w:hAnsiTheme="majorHAnsi"/>
                <w:sz w:val="20"/>
                <w:szCs w:val="20"/>
              </w:rPr>
              <w:t>SKA 17</w:t>
            </w:r>
          </w:p>
          <w:p w:rsidR="004A7A1B" w:rsidRDefault="00A0413E" w:rsidP="003A7E5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5</w:t>
            </w:r>
            <w:r w:rsidRPr="00E97063">
              <w:rPr>
                <w:rFonts w:asciiTheme="majorHAnsi" w:hAnsiTheme="majorHAnsi"/>
                <w:sz w:val="20"/>
                <w:szCs w:val="20"/>
              </w:rPr>
              <w:t xml:space="preserve">: </w:t>
            </w:r>
            <w:r w:rsidR="00D70CFF" w:rsidRPr="00E97063">
              <w:rPr>
                <w:rFonts w:asciiTheme="majorHAnsi" w:hAnsiTheme="majorHAnsi"/>
                <w:sz w:val="20"/>
                <w:szCs w:val="20"/>
              </w:rPr>
              <w:t>SKA 4, SKA 17</w:t>
            </w:r>
          </w:p>
          <w:p w:rsidR="003A7E54" w:rsidRDefault="003A7E54" w:rsidP="003A7E54">
            <w:pPr>
              <w:rPr>
                <w:rFonts w:asciiTheme="majorHAnsi" w:hAnsiTheme="majorHAnsi"/>
                <w:sz w:val="20"/>
                <w:szCs w:val="20"/>
              </w:rPr>
            </w:pPr>
            <w:r>
              <w:rPr>
                <w:rFonts w:asciiTheme="majorHAnsi" w:hAnsiTheme="majorHAnsi"/>
                <w:sz w:val="20"/>
                <w:szCs w:val="20"/>
              </w:rPr>
              <w:t>Karar 6:</w:t>
            </w:r>
            <w:r w:rsidRPr="00E97063">
              <w:rPr>
                <w:rFonts w:asciiTheme="majorHAnsi" w:hAnsiTheme="majorHAnsi"/>
                <w:sz w:val="20"/>
                <w:szCs w:val="20"/>
              </w:rPr>
              <w:t xml:space="preserve"> SKA 4, SKA 17</w:t>
            </w:r>
          </w:p>
          <w:p w:rsidR="003A7E54" w:rsidRDefault="003A7E54" w:rsidP="003A7E54">
            <w:pPr>
              <w:rPr>
                <w:rFonts w:asciiTheme="majorHAnsi" w:hAnsiTheme="majorHAnsi"/>
                <w:sz w:val="20"/>
                <w:szCs w:val="20"/>
              </w:rPr>
            </w:pPr>
            <w:r>
              <w:rPr>
                <w:rFonts w:asciiTheme="majorHAnsi" w:hAnsiTheme="majorHAnsi"/>
                <w:sz w:val="20"/>
                <w:szCs w:val="20"/>
              </w:rPr>
              <w:t>Karar 7:</w:t>
            </w:r>
            <w:r w:rsidRPr="00E97063">
              <w:rPr>
                <w:rFonts w:asciiTheme="majorHAnsi" w:hAnsiTheme="majorHAnsi"/>
                <w:sz w:val="20"/>
                <w:szCs w:val="20"/>
              </w:rPr>
              <w:t xml:space="preserve"> SKA 4, SKA 17</w:t>
            </w:r>
          </w:p>
          <w:p w:rsidR="003B0EAD" w:rsidRPr="00E97063" w:rsidRDefault="003B0EAD" w:rsidP="003A7E54">
            <w:pPr>
              <w:rPr>
                <w:rFonts w:asciiTheme="majorHAnsi" w:hAnsiTheme="majorHAnsi"/>
                <w:sz w:val="20"/>
                <w:szCs w:val="20"/>
              </w:rPr>
            </w:pPr>
            <w:r>
              <w:rPr>
                <w:rFonts w:asciiTheme="majorHAnsi" w:hAnsiTheme="majorHAnsi"/>
                <w:sz w:val="20"/>
                <w:szCs w:val="20"/>
              </w:rPr>
              <w:t>Karar 8: SKA 6, SKA 7</w:t>
            </w:r>
          </w:p>
        </w:tc>
      </w:tr>
    </w:tbl>
    <w:p w:rsidR="0062090D" w:rsidRPr="00E97063" w:rsidRDefault="0062090D" w:rsidP="00291884">
      <w:pPr>
        <w:rPr>
          <w:rFonts w:asciiTheme="majorHAnsi" w:hAnsiTheme="majorHAnsi"/>
          <w:sz w:val="20"/>
          <w:szCs w:val="20"/>
        </w:rPr>
      </w:pPr>
    </w:p>
    <w:tbl>
      <w:tblPr>
        <w:tblStyle w:val="TabloKlavuzu"/>
        <w:tblW w:w="10141" w:type="dxa"/>
        <w:jc w:val="center"/>
        <w:tblLook w:val="04A0" w:firstRow="1" w:lastRow="0" w:firstColumn="1" w:lastColumn="0" w:noHBand="0" w:noVBand="1"/>
      </w:tblPr>
      <w:tblGrid>
        <w:gridCol w:w="2650"/>
        <w:gridCol w:w="7491"/>
      </w:tblGrid>
      <w:tr w:rsidR="007B2C4C" w:rsidRPr="00E97063" w:rsidTr="007D3C81">
        <w:trPr>
          <w:jc w:val="center"/>
        </w:trPr>
        <w:tc>
          <w:tcPr>
            <w:tcW w:w="10141" w:type="dxa"/>
            <w:gridSpan w:val="2"/>
            <w:vAlign w:val="center"/>
          </w:tcPr>
          <w:p w:rsidR="007B2C4C" w:rsidRPr="00E97063" w:rsidRDefault="007B2C4C" w:rsidP="00291884">
            <w:pPr>
              <w:pStyle w:val="AralkYok"/>
              <w:rPr>
                <w:rFonts w:asciiTheme="majorHAnsi" w:hAnsiTheme="majorHAnsi"/>
                <w:b/>
                <w:sz w:val="20"/>
                <w:szCs w:val="20"/>
              </w:rPr>
            </w:pPr>
            <w:r w:rsidRPr="00E97063">
              <w:rPr>
                <w:rFonts w:asciiTheme="majorHAnsi" w:hAnsiTheme="majorHAnsi"/>
                <w:b/>
                <w:sz w:val="20"/>
                <w:szCs w:val="20"/>
              </w:rPr>
              <w:t>TOPLANTI BİLGİLERİ</w:t>
            </w:r>
          </w:p>
        </w:tc>
      </w:tr>
      <w:tr w:rsidR="0062090D" w:rsidRPr="00E97063" w:rsidTr="007D3C81">
        <w:trPr>
          <w:jc w:val="center"/>
        </w:trPr>
        <w:tc>
          <w:tcPr>
            <w:tcW w:w="2650" w:type="dxa"/>
            <w:vAlign w:val="center"/>
          </w:tcPr>
          <w:p w:rsidR="0062090D" w:rsidRPr="00E97063" w:rsidRDefault="0062090D" w:rsidP="00291884">
            <w:pPr>
              <w:pStyle w:val="AralkYok"/>
              <w:rPr>
                <w:rFonts w:asciiTheme="majorHAnsi" w:hAnsiTheme="majorHAnsi"/>
                <w:b/>
                <w:i/>
                <w:color w:val="FF0000"/>
                <w:sz w:val="20"/>
                <w:szCs w:val="20"/>
              </w:rPr>
            </w:pPr>
            <w:r w:rsidRPr="00E97063">
              <w:rPr>
                <w:rFonts w:asciiTheme="majorHAnsi" w:hAnsiTheme="majorHAnsi"/>
                <w:b/>
                <w:sz w:val="20"/>
                <w:szCs w:val="20"/>
              </w:rPr>
              <w:t>Adı/Konusu</w:t>
            </w:r>
          </w:p>
        </w:tc>
        <w:tc>
          <w:tcPr>
            <w:tcW w:w="7491" w:type="dxa"/>
            <w:vAlign w:val="center"/>
          </w:tcPr>
          <w:p w:rsidR="0062090D" w:rsidRPr="00E97063" w:rsidRDefault="00ED5AAC" w:rsidP="00291884">
            <w:pPr>
              <w:pStyle w:val="AralkYok"/>
              <w:rPr>
                <w:rFonts w:asciiTheme="majorHAnsi" w:hAnsiTheme="majorHAnsi"/>
                <w:bCs/>
                <w:sz w:val="20"/>
                <w:szCs w:val="20"/>
              </w:rPr>
            </w:pPr>
            <w:r w:rsidRPr="00E97063">
              <w:rPr>
                <w:rFonts w:asciiTheme="majorHAnsi" w:hAnsiTheme="majorHAnsi"/>
                <w:bCs/>
                <w:sz w:val="20"/>
                <w:szCs w:val="20"/>
              </w:rPr>
              <w:t xml:space="preserve">Kalite </w:t>
            </w:r>
            <w:r w:rsidR="00AA2A58" w:rsidRPr="00E97063">
              <w:rPr>
                <w:rFonts w:asciiTheme="majorHAnsi" w:hAnsiTheme="majorHAnsi"/>
                <w:bCs/>
                <w:sz w:val="20"/>
                <w:szCs w:val="20"/>
              </w:rPr>
              <w:t xml:space="preserve">Yönetimi </w:t>
            </w:r>
            <w:r w:rsidRPr="00E97063">
              <w:rPr>
                <w:rFonts w:asciiTheme="majorHAnsi" w:hAnsiTheme="majorHAnsi"/>
                <w:bCs/>
                <w:sz w:val="20"/>
                <w:szCs w:val="20"/>
              </w:rPr>
              <w:t>Koordinatörlüğü Tavsiye Kararlarının Değerlendirilmesi</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Saat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11.00</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Yer</w:t>
            </w:r>
            <w:r w:rsidRPr="00E97063">
              <w:rPr>
                <w:rFonts w:asciiTheme="majorHAnsi" w:hAnsiTheme="majorHAnsi"/>
                <w:b/>
                <w:sz w:val="20"/>
                <w:szCs w:val="20"/>
              </w:rPr>
              <w:tab/>
              <w:t xml:space="preserve">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Rektörlük Toplantı Salonu</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Düzenleyen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Kalite Yönetimi Koordinatörlüğü</w:t>
            </w:r>
          </w:p>
        </w:tc>
      </w:tr>
    </w:tbl>
    <w:p w:rsidR="007B2C4C" w:rsidRPr="00E97063" w:rsidRDefault="007B2C4C" w:rsidP="00291884">
      <w:pPr>
        <w:pStyle w:val="ListeParagraf"/>
        <w:ind w:left="0"/>
        <w:jc w:val="both"/>
        <w:rPr>
          <w:rFonts w:asciiTheme="majorHAnsi" w:hAnsiTheme="majorHAnsi" w:cs="Times New Roman"/>
          <w:b/>
          <w:sz w:val="20"/>
          <w:szCs w:val="20"/>
        </w:rPr>
      </w:pPr>
    </w:p>
    <w:p w:rsidR="007B2C4C" w:rsidRPr="00E97063" w:rsidRDefault="007B2C4C" w:rsidP="00291884">
      <w:pPr>
        <w:pStyle w:val="ListeParagraf"/>
        <w:spacing w:after="240"/>
        <w:ind w:left="0"/>
        <w:jc w:val="both"/>
        <w:rPr>
          <w:rFonts w:asciiTheme="majorHAnsi" w:hAnsiTheme="majorHAnsi" w:cs="Times New Roman"/>
          <w:b/>
          <w:sz w:val="20"/>
          <w:szCs w:val="20"/>
          <w:u w:val="single"/>
        </w:rPr>
      </w:pPr>
      <w:r w:rsidRPr="00E97063">
        <w:rPr>
          <w:rFonts w:asciiTheme="majorHAnsi" w:hAnsiTheme="majorHAnsi" w:cs="Times New Roman"/>
          <w:b/>
          <w:sz w:val="20"/>
          <w:szCs w:val="20"/>
          <w:u w:val="single"/>
        </w:rPr>
        <w:t>GÜNDEM:</w:t>
      </w:r>
    </w:p>
    <w:p w:rsidR="001F5300" w:rsidRPr="00E97063" w:rsidRDefault="00ED5AAC" w:rsidP="00291884">
      <w:pPr>
        <w:pStyle w:val="AralkYok"/>
        <w:numPr>
          <w:ilvl w:val="0"/>
          <w:numId w:val="7"/>
        </w:numPr>
        <w:spacing w:after="240"/>
        <w:jc w:val="both"/>
        <w:rPr>
          <w:rFonts w:asciiTheme="majorHAnsi" w:hAnsiTheme="majorHAnsi"/>
          <w:bCs/>
          <w:sz w:val="20"/>
          <w:szCs w:val="20"/>
        </w:rPr>
      </w:pPr>
      <w:r w:rsidRPr="00E97063">
        <w:rPr>
          <w:rFonts w:asciiTheme="majorHAnsi" w:hAnsiTheme="majorHAnsi"/>
          <w:bCs/>
          <w:sz w:val="20"/>
          <w:szCs w:val="20"/>
        </w:rPr>
        <w:t xml:space="preserve">Kalite </w:t>
      </w:r>
      <w:r w:rsidR="000F3CBA" w:rsidRPr="00E97063">
        <w:rPr>
          <w:rFonts w:asciiTheme="majorHAnsi" w:hAnsiTheme="majorHAnsi"/>
          <w:bCs/>
          <w:sz w:val="20"/>
          <w:szCs w:val="20"/>
        </w:rPr>
        <w:t xml:space="preserve">Yönetimi </w:t>
      </w:r>
      <w:r w:rsidRPr="00E97063">
        <w:rPr>
          <w:rFonts w:asciiTheme="majorHAnsi" w:hAnsiTheme="majorHAnsi"/>
          <w:bCs/>
          <w:sz w:val="20"/>
          <w:szCs w:val="20"/>
        </w:rPr>
        <w:t xml:space="preserve">Koordinatörlüğü </w:t>
      </w:r>
      <w:r w:rsidR="000F3CBA" w:rsidRPr="00E97063">
        <w:rPr>
          <w:rFonts w:asciiTheme="majorHAnsi" w:hAnsiTheme="majorHAnsi"/>
          <w:bCs/>
          <w:sz w:val="20"/>
          <w:szCs w:val="20"/>
        </w:rPr>
        <w:t>tavsiye kararlarının değerlendirilmesi</w:t>
      </w:r>
      <w:r w:rsidRPr="00E97063">
        <w:rPr>
          <w:rFonts w:asciiTheme="majorHAnsi" w:hAnsiTheme="majorHAnsi"/>
          <w:bCs/>
          <w:sz w:val="20"/>
          <w:szCs w:val="20"/>
        </w:rPr>
        <w:t>.</w:t>
      </w:r>
    </w:p>
    <w:p w:rsidR="00851E54" w:rsidRPr="00E97063" w:rsidRDefault="00851E54" w:rsidP="00291884">
      <w:pPr>
        <w:pStyle w:val="ListeParagraf"/>
        <w:ind w:left="0"/>
        <w:rPr>
          <w:rFonts w:asciiTheme="majorHAnsi" w:hAnsiTheme="majorHAnsi" w:cs="Times New Roman"/>
          <w:b/>
          <w:sz w:val="20"/>
          <w:szCs w:val="20"/>
          <w:u w:val="single"/>
        </w:rPr>
      </w:pPr>
      <w:r w:rsidRPr="00E97063">
        <w:rPr>
          <w:rFonts w:asciiTheme="majorHAnsi" w:hAnsiTheme="majorHAnsi" w:cs="Times New Roman"/>
          <w:b/>
          <w:sz w:val="20"/>
          <w:szCs w:val="20"/>
          <w:u w:val="single"/>
        </w:rPr>
        <w:t>ALINAN KARARLAR:</w:t>
      </w:r>
    </w:p>
    <w:p w:rsidR="00D607C8" w:rsidRDefault="00D607C8" w:rsidP="00D607C8">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D607C8" w:rsidRPr="00B77F7C" w:rsidRDefault="00D607C8" w:rsidP="00D607C8">
      <w:pPr>
        <w:tabs>
          <w:tab w:val="left" w:pos="1418"/>
        </w:tabs>
        <w:spacing w:before="240"/>
        <w:ind w:left="720"/>
        <w:jc w:val="both"/>
        <w:rPr>
          <w:rFonts w:asciiTheme="majorHAnsi" w:hAnsiTheme="majorHAnsi" w:cs="Times New Roman"/>
          <w:bCs/>
          <w:sz w:val="20"/>
          <w:szCs w:val="20"/>
        </w:rPr>
      </w:pPr>
      <w:r w:rsidRPr="00B77F7C">
        <w:rPr>
          <w:rFonts w:asciiTheme="majorHAnsi" w:hAnsiTheme="majorHAnsi" w:cs="Times New Roman"/>
          <w:bCs/>
          <w:sz w:val="20"/>
          <w:szCs w:val="20"/>
        </w:rPr>
        <w:t>Anketlerin eğitim-öğretim yılı kapsamında yapılmasına karar verilmiştir.</w:t>
      </w:r>
    </w:p>
    <w:p w:rsidR="00D607C8" w:rsidRDefault="00D607C8" w:rsidP="00D607C8">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D607C8" w:rsidRPr="00B77F7C" w:rsidRDefault="00D607C8" w:rsidP="00D607C8">
      <w:pPr>
        <w:tabs>
          <w:tab w:val="left" w:pos="1418"/>
        </w:tabs>
        <w:spacing w:before="240"/>
        <w:ind w:left="720"/>
        <w:jc w:val="both"/>
        <w:rPr>
          <w:rFonts w:asciiTheme="majorHAnsi" w:hAnsiTheme="majorHAnsi" w:cs="Times New Roman"/>
          <w:iCs/>
          <w:sz w:val="20"/>
          <w:szCs w:val="20"/>
        </w:rPr>
      </w:pPr>
      <w:r w:rsidRPr="00B77F7C">
        <w:rPr>
          <w:rFonts w:asciiTheme="majorHAnsi" w:hAnsiTheme="majorHAnsi"/>
          <w:color w:val="000000"/>
          <w:sz w:val="20"/>
          <w:szCs w:val="20"/>
        </w:rPr>
        <w:t>Anketlerin eğitim-öğretim yılı kapsamında yapılması, eğitim süreçlerine ilişkin görüş ve değerlendirmelerin ilgili dönemi doğrudan yansıtmasını sağlamak, elde edilecek verilerin eğitim faaliyetleriyle örtüşmesini temin etmek ve sonuçların aynı eğitim-öğretim yılına yönelik planlama, izleme ve değerlendirme çalışmalarında kullanılabilmesine imkân vermek amacıyla uygun görülmüştür.</w:t>
      </w:r>
    </w:p>
    <w:p w:rsidR="00D607C8" w:rsidRDefault="00D607C8" w:rsidP="00D607C8">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D607C8" w:rsidRDefault="00D607C8" w:rsidP="00D607C8">
      <w:pPr>
        <w:tabs>
          <w:tab w:val="left" w:pos="1418"/>
        </w:tabs>
        <w:spacing w:before="240"/>
        <w:ind w:left="720"/>
        <w:jc w:val="both"/>
        <w:rPr>
          <w:rFonts w:ascii="Cambria" w:hAnsi="Cambria"/>
          <w:color w:val="000000"/>
          <w:sz w:val="20"/>
          <w:szCs w:val="20"/>
        </w:rPr>
      </w:pPr>
      <w:r w:rsidRPr="00B77F7C">
        <w:rPr>
          <w:rFonts w:ascii="Cambria" w:hAnsi="Cambria"/>
          <w:color w:val="000000"/>
          <w:sz w:val="20"/>
          <w:szCs w:val="20"/>
        </w:rPr>
        <w:lastRenderedPageBreak/>
        <w:t>Bu doğrultuda, eğitim-öğretim faaliyetlerine ilişkin olarak yapılacak tüm anketlerin ilgili eğitim-öğretim yılı içerisinde uygulanmasına, sonuçlarının analiz edilerek raporlanmasına ve değerlendirme süreçlerinde esas alınmasına karar verilmiştir.</w:t>
      </w:r>
    </w:p>
    <w:p w:rsidR="00D607C8" w:rsidRPr="00AD1DD7" w:rsidRDefault="00D607C8" w:rsidP="00D607C8">
      <w:pPr>
        <w:tabs>
          <w:tab w:val="left" w:pos="1418"/>
        </w:tabs>
        <w:spacing w:before="240"/>
        <w:jc w:val="both"/>
        <w:rPr>
          <w:rFonts w:ascii="Cambria" w:hAnsi="Cambria"/>
          <w:b/>
          <w:bCs/>
          <w:color w:val="000000"/>
          <w:sz w:val="20"/>
          <w:szCs w:val="20"/>
        </w:rPr>
      </w:pPr>
      <w:r w:rsidRPr="00AD1DD7">
        <w:rPr>
          <w:rFonts w:ascii="Cambria" w:hAnsi="Cambria"/>
          <w:b/>
          <w:bCs/>
          <w:color w:val="000000"/>
          <w:sz w:val="20"/>
          <w:szCs w:val="20"/>
        </w:rPr>
        <w:t xml:space="preserve">Karar No 2: </w:t>
      </w:r>
    </w:p>
    <w:p w:rsidR="00D607C8" w:rsidRDefault="00D607C8" w:rsidP="00D607C8">
      <w:pPr>
        <w:tabs>
          <w:tab w:val="left" w:pos="1418"/>
        </w:tabs>
        <w:spacing w:before="240"/>
        <w:ind w:left="720"/>
        <w:jc w:val="both"/>
        <w:rPr>
          <w:rFonts w:ascii="Cambria" w:hAnsi="Cambria"/>
          <w:color w:val="000000"/>
          <w:sz w:val="20"/>
          <w:szCs w:val="20"/>
        </w:rPr>
      </w:pPr>
      <w:r>
        <w:rPr>
          <w:rFonts w:ascii="Cambria" w:hAnsi="Cambria"/>
          <w:color w:val="000000"/>
          <w:sz w:val="20"/>
          <w:szCs w:val="20"/>
        </w:rPr>
        <w:t>Güncellenen memnuniyet anketlerinde bazı bölümlerin yeniden düzenlenmesine ve Öğretim Elemanı AKTS İş Yükü Anketine yönelik bazı bölümlerin çıkarılmasına karar verilmiştir.</w:t>
      </w:r>
    </w:p>
    <w:p w:rsidR="00D607C8" w:rsidRDefault="00D607C8" w:rsidP="00D607C8">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D607C8" w:rsidRPr="00A43676" w:rsidRDefault="00D607C8" w:rsidP="00D607C8">
      <w:pPr>
        <w:tabs>
          <w:tab w:val="left" w:pos="1418"/>
        </w:tabs>
        <w:spacing w:before="240" w:line="276" w:lineRule="auto"/>
        <w:ind w:left="720"/>
        <w:jc w:val="both"/>
        <w:rPr>
          <w:rFonts w:ascii="Cambria" w:hAnsi="Cambria" w:cs="Times New Roman"/>
          <w:i/>
          <w:sz w:val="20"/>
          <w:szCs w:val="20"/>
        </w:rPr>
      </w:pPr>
      <w:r w:rsidRPr="00A43676">
        <w:rPr>
          <w:rFonts w:ascii="Cambria" w:hAnsi="Cambria"/>
          <w:color w:val="000000"/>
          <w:sz w:val="20"/>
          <w:szCs w:val="20"/>
        </w:rPr>
        <w:t>Memnuniyet ve iş yükü anketlerinin geçerlilik ve güvenilirliğini artırmak, katılımcıların anketleri daha etkin ve tutarlı şekilde yanıtlamasını sağlamak, tekrar eden veya ölçüm amacına hizmet etmeyen soruları ayıklayarak anket sonuçlarının analiz edilebilirliğini ve karar alma süreçlerinde kullanılabilirliğini güçlendirmek amacıyla bu düzenlemelere ihtiyaç duyulmuştur.</w:t>
      </w:r>
    </w:p>
    <w:p w:rsidR="00D607C8" w:rsidRDefault="00D607C8" w:rsidP="00D607C8">
      <w:pPr>
        <w:tabs>
          <w:tab w:val="left" w:pos="1418"/>
        </w:tabs>
        <w:spacing w:before="240"/>
        <w:jc w:val="both"/>
        <w:rPr>
          <w:rFonts w:ascii="Cambria" w:hAnsi="Cambria" w:cs="Times New Roman"/>
          <w:sz w:val="20"/>
          <w:szCs w:val="20"/>
        </w:rPr>
      </w:pPr>
      <w:r>
        <w:rPr>
          <w:rFonts w:ascii="Cambria" w:hAnsi="Cambria" w:cs="Times New Roman"/>
          <w:sz w:val="20"/>
          <w:szCs w:val="20"/>
        </w:rPr>
        <w:t>Kararın İçeriği:</w:t>
      </w:r>
    </w:p>
    <w:p w:rsidR="00D607C8" w:rsidRDefault="00D607C8" w:rsidP="00D607C8">
      <w:pPr>
        <w:tabs>
          <w:tab w:val="left" w:pos="1418"/>
        </w:tabs>
        <w:spacing w:before="240" w:line="276" w:lineRule="auto"/>
        <w:ind w:left="720"/>
        <w:jc w:val="both"/>
        <w:rPr>
          <w:rFonts w:ascii="Cambria" w:hAnsi="Cambria" w:cs="Times New Roman"/>
          <w:sz w:val="20"/>
          <w:szCs w:val="20"/>
        </w:rPr>
      </w:pPr>
      <w:r w:rsidRPr="00E52883">
        <w:rPr>
          <w:rFonts w:ascii="Cambria" w:hAnsi="Cambria"/>
          <w:color w:val="000000"/>
          <w:sz w:val="20"/>
          <w:szCs w:val="20"/>
        </w:rPr>
        <w:t>Güncellenen memnuniyet anketleri kapsamında, anketlerin amacına ve ölçüm etkinliğine uygunluğunu artırmak üzere bazı bölümlerin yeniden düzenlenmesine; Öğretim Elemanı AKTS İş Yükü Anketi’nde ölçüm amacına doğrudan katkı sağlamadığı değerlendirilen bazı bölümlerin</w:t>
      </w:r>
      <w:r>
        <w:rPr>
          <w:rFonts w:ascii="Cambria" w:hAnsi="Cambria"/>
          <w:color w:val="000000"/>
          <w:sz w:val="20"/>
          <w:szCs w:val="20"/>
        </w:rPr>
        <w:t xml:space="preserve"> çıkarılması uygun görülmüştür</w:t>
      </w:r>
      <w:r w:rsidRPr="00E52883">
        <w:rPr>
          <w:rFonts w:ascii="Cambria" w:hAnsi="Cambria"/>
          <w:color w:val="000000"/>
          <w:sz w:val="20"/>
          <w:szCs w:val="20"/>
        </w:rPr>
        <w:t>.</w:t>
      </w:r>
    </w:p>
    <w:p w:rsidR="00D607C8" w:rsidRDefault="00D607C8" w:rsidP="00D607C8">
      <w:pPr>
        <w:tabs>
          <w:tab w:val="left" w:pos="1418"/>
        </w:tabs>
        <w:spacing w:before="240"/>
        <w:jc w:val="both"/>
        <w:rPr>
          <w:rFonts w:ascii="Cambria" w:hAnsi="Cambria" w:cs="Times New Roman"/>
          <w:b/>
          <w:bCs/>
          <w:sz w:val="20"/>
          <w:szCs w:val="20"/>
        </w:rPr>
      </w:pPr>
      <w:r w:rsidRPr="00AD1DD7">
        <w:rPr>
          <w:rFonts w:ascii="Cambria" w:hAnsi="Cambria" w:cs="Times New Roman"/>
          <w:b/>
          <w:bCs/>
          <w:sz w:val="20"/>
          <w:szCs w:val="20"/>
        </w:rPr>
        <w:t>Karar No 3:</w:t>
      </w:r>
    </w:p>
    <w:p w:rsidR="00D607C8" w:rsidRDefault="00D607C8" w:rsidP="00D607C8">
      <w:pPr>
        <w:tabs>
          <w:tab w:val="left" w:pos="1418"/>
        </w:tabs>
        <w:spacing w:before="240"/>
        <w:jc w:val="both"/>
        <w:rPr>
          <w:rFonts w:ascii="Cambria" w:hAnsi="Cambria" w:cs="Times New Roman"/>
          <w:b/>
          <w:bCs/>
          <w:sz w:val="20"/>
          <w:szCs w:val="20"/>
        </w:rPr>
      </w:pPr>
    </w:p>
    <w:p w:rsidR="00D607C8" w:rsidRPr="009F72DE" w:rsidRDefault="00D607C8" w:rsidP="00D607C8">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FRM-0112-Öğretim Üyesi İlanı Başvuru Formu</w:t>
      </w:r>
    </w:p>
    <w:p w:rsidR="00D607C8" w:rsidRPr="009F72DE" w:rsidRDefault="00D607C8" w:rsidP="00D607C8">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FRM-0113-Öğretim Görevlisi/Araştırma Görevlisi Başvuru Formu</w:t>
      </w:r>
    </w:p>
    <w:p w:rsidR="00D607C8" w:rsidRPr="009F72DE" w:rsidRDefault="00D607C8" w:rsidP="00D607C8">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FRM-0114-Bilimsel Yayınları Destekleme Bildirim Formu</w:t>
      </w:r>
    </w:p>
    <w:p w:rsidR="00D607C8" w:rsidRPr="009F72DE" w:rsidRDefault="00D607C8" w:rsidP="00D607C8">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FRM-0115-İdari Personel Geçici Görevlendirme Formu</w:t>
      </w:r>
    </w:p>
    <w:p w:rsidR="00D607C8" w:rsidRPr="009F72DE" w:rsidRDefault="00D607C8" w:rsidP="00D607C8">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FRM-0116-Hazırlık Okulu Yarıyıl</w:t>
      </w:r>
      <w:r>
        <w:rPr>
          <w:rFonts w:ascii="Cambria" w:hAnsi="Cambria" w:cs="Arial"/>
          <w:color w:val="292B2C"/>
          <w:sz w:val="20"/>
          <w:szCs w:val="20"/>
        </w:rPr>
        <w:t xml:space="preserve"> S</w:t>
      </w:r>
      <w:r w:rsidRPr="009F72DE">
        <w:rPr>
          <w:rFonts w:ascii="Cambria" w:hAnsi="Cambria" w:cs="Arial"/>
          <w:color w:val="292B2C"/>
          <w:sz w:val="20"/>
          <w:szCs w:val="20"/>
        </w:rPr>
        <w:t>onu Yeterlik Sınavı Başvuru Formu</w:t>
      </w:r>
    </w:p>
    <w:p w:rsidR="00D607C8" w:rsidRPr="00B86E13" w:rsidRDefault="00D607C8" w:rsidP="00D607C8">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t>Yukarıda belirtilen kılavuz ve formların yayımlanmasına karar verilmiştir.</w:t>
      </w:r>
    </w:p>
    <w:p w:rsidR="004A7A1B" w:rsidRDefault="004A7A1B" w:rsidP="004A7A1B">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4</w:t>
      </w:r>
      <w:r w:rsidRPr="001F5300">
        <w:rPr>
          <w:rFonts w:asciiTheme="majorHAnsi" w:hAnsiTheme="majorHAnsi" w:cs="Times New Roman"/>
          <w:b/>
          <w:sz w:val="20"/>
          <w:szCs w:val="20"/>
        </w:rPr>
        <w:t xml:space="preserve">: </w:t>
      </w:r>
    </w:p>
    <w:p w:rsidR="004A7A1B" w:rsidRPr="00F728AA" w:rsidRDefault="004A7A1B" w:rsidP="004A7A1B">
      <w:pPr>
        <w:tabs>
          <w:tab w:val="left" w:pos="1418"/>
        </w:tabs>
        <w:spacing w:before="240" w:line="276" w:lineRule="auto"/>
        <w:ind w:left="720"/>
        <w:jc w:val="both"/>
        <w:rPr>
          <w:rFonts w:ascii="Cambria" w:hAnsi="Cambria"/>
          <w:color w:val="000000"/>
          <w:sz w:val="20"/>
          <w:szCs w:val="20"/>
        </w:rPr>
      </w:pPr>
      <w:r w:rsidRPr="00F728AA">
        <w:rPr>
          <w:rFonts w:ascii="Cambria" w:hAnsi="Cambria"/>
          <w:color w:val="000000"/>
          <w:sz w:val="20"/>
          <w:szCs w:val="20"/>
        </w:rPr>
        <w:t>QDMS Kalite Yönetim Sistemi’ne ilişkin yapılan sunum değerlendirilmiş olup; Çağ Üniversitesi’ne özel olarak yapılandırılacak bir QDMS deneme (pilot) sürümünün gönderilmesine karar verilmiştir.</w:t>
      </w:r>
      <w:r>
        <w:rPr>
          <w:rFonts w:ascii="Cambria" w:hAnsi="Cambria"/>
          <w:color w:val="000000"/>
          <w:sz w:val="20"/>
          <w:szCs w:val="20"/>
        </w:rPr>
        <w:t xml:space="preserve"> </w:t>
      </w:r>
    </w:p>
    <w:p w:rsidR="004A7A1B" w:rsidRDefault="004A7A1B" w:rsidP="004A7A1B">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4A7A1B" w:rsidRPr="00F728AA" w:rsidRDefault="004A7A1B" w:rsidP="004A7A1B">
      <w:pPr>
        <w:tabs>
          <w:tab w:val="left" w:pos="1418"/>
        </w:tabs>
        <w:spacing w:before="240" w:line="276" w:lineRule="auto"/>
        <w:ind w:left="720"/>
        <w:jc w:val="both"/>
        <w:rPr>
          <w:rFonts w:asciiTheme="majorHAnsi" w:hAnsiTheme="majorHAnsi" w:cs="Times New Roman"/>
          <w:i/>
          <w:sz w:val="20"/>
          <w:szCs w:val="20"/>
        </w:rPr>
      </w:pPr>
      <w:r w:rsidRPr="00F728AA">
        <w:rPr>
          <w:rFonts w:ascii="-webkit-standard" w:hAnsi="-webkit-standard"/>
          <w:color w:val="000000"/>
          <w:sz w:val="20"/>
          <w:szCs w:val="20"/>
        </w:rPr>
        <w:t>Üniversitemizin kalite yönetimi, stratejik yönetim, performans izleme ve sürekli iyileştirme süreçlerinin daha bütünleşik, izlenebilir ve sürdürülebilir şekilde yönetilmesi; kurumsal olgunluğun artırılması ve dijital kalite yönetimi ihtiyacının değerlendirilmesi amacıyla, QDMS Kalite Yönetim Sistemi’nin Çağ Üniversitesi’ne özel yapılandırılmış bir deneme sürümünün değerlendirilmesine ihtiyaç duyulmuştur.</w:t>
      </w:r>
    </w:p>
    <w:p w:rsidR="004A7A1B" w:rsidRDefault="004A7A1B" w:rsidP="004A7A1B">
      <w:pPr>
        <w:tabs>
          <w:tab w:val="left" w:pos="1418"/>
        </w:tabs>
        <w:spacing w:before="240" w:line="276" w:lineRule="auto"/>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4A7A1B" w:rsidRDefault="004A7A1B" w:rsidP="004A7A1B">
      <w:pPr>
        <w:tabs>
          <w:tab w:val="left" w:pos="1418"/>
        </w:tabs>
        <w:spacing w:before="240" w:line="276" w:lineRule="auto"/>
        <w:ind w:left="720"/>
        <w:jc w:val="both"/>
        <w:rPr>
          <w:rFonts w:ascii="Cambria" w:hAnsi="Cambria"/>
          <w:color w:val="000000"/>
          <w:sz w:val="20"/>
          <w:szCs w:val="20"/>
        </w:rPr>
      </w:pPr>
      <w:r w:rsidRPr="00F728AA">
        <w:rPr>
          <w:rFonts w:ascii="Cambria" w:hAnsi="Cambria"/>
          <w:color w:val="000000"/>
          <w:sz w:val="20"/>
          <w:szCs w:val="20"/>
        </w:rPr>
        <w:lastRenderedPageBreak/>
        <w:t>QDMS Kalite Yönetim Sistemi’ne ilişkin yapılan sunum değerlendirilmiş olup; üniversitemizin kalite yönetim süreçlerinin dijital ortamda bütünleşik, izlenebilir ve sürdürülebilir şekilde yönetilebilmesi amacıyla, Çağ Üniversitesi’ne özel olarak yapılandırılacak bir QDMS deneme (pilot) sürümü</w:t>
      </w:r>
      <w:r>
        <w:rPr>
          <w:rFonts w:ascii="Cambria" w:hAnsi="Cambria"/>
          <w:color w:val="000000"/>
          <w:sz w:val="20"/>
          <w:szCs w:val="20"/>
        </w:rPr>
        <w:t xml:space="preserve"> gönderilecektir.</w:t>
      </w:r>
    </w:p>
    <w:p w:rsidR="004A7A1B" w:rsidRPr="00404AAD" w:rsidRDefault="004A7A1B" w:rsidP="004A7A1B">
      <w:pPr>
        <w:tabs>
          <w:tab w:val="left" w:pos="1418"/>
        </w:tabs>
        <w:spacing w:before="240" w:line="276" w:lineRule="auto"/>
        <w:ind w:left="720"/>
        <w:jc w:val="both"/>
        <w:rPr>
          <w:rFonts w:ascii="Cambria" w:eastAsia="Times New Roman" w:hAnsi="Cambria" w:cs="Times New Roman"/>
          <w:color w:val="000000"/>
          <w:sz w:val="20"/>
          <w:szCs w:val="20"/>
        </w:rPr>
      </w:pPr>
      <w:r w:rsidRPr="00F728AA">
        <w:rPr>
          <w:rFonts w:ascii="Cambria" w:hAnsi="Cambria"/>
          <w:color w:val="000000"/>
          <w:sz w:val="20"/>
          <w:szCs w:val="20"/>
        </w:rPr>
        <w:t>Deneme sürümü kapsamında; stratejik yönetim, süreç yönetimi, performans göstergeleri, risk yönetimi ve sürekli iyileştirme modüllerinin üniversitemizin mevcut yapısı ve ihtiyaçları doğrultusunda test edilmesi, elde edilecek geri bildirimler doğrultusunda sistemin kuruma uygunluğunun değerlendirilmesi kararlaştırılmıştır.</w:t>
      </w:r>
    </w:p>
    <w:p w:rsidR="004A7A1B" w:rsidRDefault="004A7A1B" w:rsidP="004A7A1B">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Karar No</w:t>
      </w:r>
      <w:r>
        <w:rPr>
          <w:rFonts w:asciiTheme="majorHAnsi" w:hAnsiTheme="majorHAnsi" w:cs="Times New Roman"/>
          <w:b/>
          <w:sz w:val="20"/>
          <w:szCs w:val="20"/>
        </w:rPr>
        <w:t xml:space="preserve"> 5</w:t>
      </w:r>
      <w:r w:rsidRPr="001F5300">
        <w:rPr>
          <w:rFonts w:asciiTheme="majorHAnsi" w:hAnsiTheme="majorHAnsi" w:cs="Times New Roman"/>
          <w:b/>
          <w:sz w:val="20"/>
          <w:szCs w:val="20"/>
        </w:rPr>
        <w:t xml:space="preserve">: </w:t>
      </w:r>
    </w:p>
    <w:p w:rsidR="006D1517" w:rsidRPr="008B31B8" w:rsidRDefault="006D1517" w:rsidP="006D1517">
      <w:pPr>
        <w:tabs>
          <w:tab w:val="left" w:pos="1418"/>
        </w:tabs>
        <w:spacing w:before="240"/>
        <w:ind w:left="720"/>
        <w:jc w:val="both"/>
        <w:rPr>
          <w:rFonts w:ascii="Cambria" w:hAnsi="Cambria"/>
          <w:color w:val="000000"/>
          <w:sz w:val="20"/>
          <w:szCs w:val="20"/>
        </w:rPr>
      </w:pPr>
      <w:r w:rsidRPr="008B31B8">
        <w:rPr>
          <w:rFonts w:ascii="Cambria" w:hAnsi="Cambria"/>
          <w:color w:val="000000"/>
          <w:sz w:val="20"/>
          <w:szCs w:val="20"/>
        </w:rPr>
        <w:t>YÖK İzleme-Değerlendirme Genel Raporu kapsamında olumlu çıkan sonuçların geliştirilerek sürdürülmesine, gelişime açık alanlar için ise iyileştirme çalışmalarının planlanmasına karar verilmiştir.</w:t>
      </w:r>
    </w:p>
    <w:p w:rsidR="004A7A1B" w:rsidRDefault="004A7A1B" w:rsidP="004A7A1B">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Gerekçesi:</w:t>
      </w:r>
    </w:p>
    <w:p w:rsidR="004A7A1B" w:rsidRPr="007A27D0" w:rsidRDefault="004A7A1B" w:rsidP="004A7A1B">
      <w:pPr>
        <w:tabs>
          <w:tab w:val="left" w:pos="1418"/>
        </w:tabs>
        <w:spacing w:before="240" w:line="276" w:lineRule="auto"/>
        <w:ind w:left="720"/>
        <w:jc w:val="both"/>
        <w:rPr>
          <w:rFonts w:asciiTheme="majorHAnsi" w:hAnsiTheme="majorHAnsi" w:cs="Times New Roman"/>
          <w:sz w:val="20"/>
          <w:szCs w:val="20"/>
        </w:rPr>
      </w:pPr>
      <w:r w:rsidRPr="007A27D0">
        <w:rPr>
          <w:rFonts w:asciiTheme="majorHAnsi" w:hAnsiTheme="majorHAnsi"/>
          <w:color w:val="000000"/>
          <w:sz w:val="20"/>
          <w:szCs w:val="20"/>
        </w:rPr>
        <w:t>YÖK İzleme ve Değerlendirme Genel Raporu’nda yer alan sıralamaların, üniversitemizin akademik, idari ve araştırma performansını izlemek açısından önemli bir gösterge olması; mevcut durumun değerlendirilmesi, güçlü yönlerin sürdürülebilirliğinin sağlanması ve gelişime açık alanlarda iyileştirme fırsatlarının belirlenmesi amacıyla bu konuda değerlendirme yapılmasına ihtiyaç duyulmuştur</w:t>
      </w:r>
    </w:p>
    <w:p w:rsidR="004A7A1B" w:rsidRDefault="004A7A1B" w:rsidP="004A7A1B">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İçeriği:</w:t>
      </w:r>
    </w:p>
    <w:p w:rsidR="004C4679" w:rsidRPr="00500379" w:rsidRDefault="004A7A1B" w:rsidP="00500379">
      <w:pPr>
        <w:tabs>
          <w:tab w:val="left" w:pos="1418"/>
        </w:tabs>
        <w:spacing w:before="240" w:after="240" w:line="276" w:lineRule="auto"/>
        <w:ind w:left="720"/>
        <w:jc w:val="both"/>
        <w:rPr>
          <w:rFonts w:ascii="Cambria" w:hAnsi="Cambria"/>
          <w:color w:val="000000"/>
          <w:sz w:val="20"/>
          <w:szCs w:val="20"/>
        </w:rPr>
      </w:pPr>
      <w:r w:rsidRPr="007A27D0">
        <w:rPr>
          <w:rFonts w:ascii="Cambria" w:hAnsi="Cambria"/>
          <w:color w:val="000000"/>
          <w:sz w:val="20"/>
          <w:szCs w:val="20"/>
        </w:rPr>
        <w:t>YÖK İzleme ve Değerlendirme Genel Raporu hakkında yapılan bilgilendirme ve değerlendirmeler sonucunda, üniversitemizin ilgili göstergeler kapsamında elde ettiği sıralamaların izlenmesine; güçlü olunan alanların korunması ve geliştirilmesi, gelişime açık alanlara yönelik ise gerekli iyileştirme çalışmalarının planlanarak ilgili birimler tarafından yürütülmesine karar verilmiştir.</w:t>
      </w:r>
    </w:p>
    <w:p w:rsidR="00812FF6" w:rsidRPr="00DD1F39" w:rsidRDefault="00DD1F39" w:rsidP="00DD1F39">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Karar No</w:t>
      </w:r>
      <w:r>
        <w:rPr>
          <w:rFonts w:asciiTheme="majorHAnsi" w:hAnsiTheme="majorHAnsi" w:cs="Times New Roman"/>
          <w:b/>
          <w:sz w:val="20"/>
          <w:szCs w:val="20"/>
        </w:rPr>
        <w:t xml:space="preserve"> 6</w:t>
      </w:r>
      <w:r w:rsidRPr="001F5300">
        <w:rPr>
          <w:rFonts w:asciiTheme="majorHAnsi" w:hAnsiTheme="majorHAnsi" w:cs="Times New Roman"/>
          <w:b/>
          <w:sz w:val="20"/>
          <w:szCs w:val="20"/>
        </w:rPr>
        <w:t xml:space="preserve">: </w:t>
      </w:r>
    </w:p>
    <w:p w:rsidR="00DD1F39" w:rsidRPr="002E3BEE" w:rsidRDefault="00DD1F39" w:rsidP="00DD1F39">
      <w:pPr>
        <w:tabs>
          <w:tab w:val="left" w:pos="1418"/>
        </w:tabs>
        <w:spacing w:before="240"/>
        <w:ind w:left="720"/>
        <w:jc w:val="both"/>
        <w:rPr>
          <w:rFonts w:ascii="Cambria" w:hAnsi="Cambria" w:cs="Times New Roman"/>
          <w:b/>
          <w:sz w:val="20"/>
          <w:szCs w:val="20"/>
        </w:rPr>
      </w:pPr>
      <w:r w:rsidRPr="002E3BEE">
        <w:rPr>
          <w:rFonts w:ascii="Cambria" w:hAnsi="Cambria"/>
          <w:color w:val="000000"/>
          <w:sz w:val="20"/>
          <w:szCs w:val="20"/>
        </w:rPr>
        <w:t>Üniversitemizin kalite güvence sistemi ve Çağ Üniversitesi ekosistemi yaklaşımı doğrultusunda, üniversitemizin faaliyet alanlarıyla ilişkili dış paydaş listesinin oluşturulmasına karar verilmiştir.</w:t>
      </w:r>
    </w:p>
    <w:p w:rsidR="00DD1F39" w:rsidRPr="002E3BEE" w:rsidRDefault="00DD1F39" w:rsidP="00DD1F39">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Gerekçesi:</w:t>
      </w:r>
    </w:p>
    <w:p w:rsidR="00DD1F39" w:rsidRPr="00590768" w:rsidRDefault="00DD1F39" w:rsidP="00DD1F39">
      <w:pPr>
        <w:tabs>
          <w:tab w:val="left" w:pos="1418"/>
        </w:tabs>
        <w:spacing w:before="240"/>
        <w:ind w:left="720"/>
        <w:jc w:val="both"/>
        <w:rPr>
          <w:rFonts w:asciiTheme="majorHAnsi" w:hAnsiTheme="majorHAnsi"/>
          <w:color w:val="000000"/>
          <w:sz w:val="20"/>
          <w:szCs w:val="20"/>
        </w:rPr>
      </w:pPr>
      <w:r w:rsidRPr="00590768">
        <w:rPr>
          <w:rFonts w:asciiTheme="majorHAnsi" w:hAnsiTheme="majorHAnsi"/>
          <w:color w:val="000000"/>
          <w:sz w:val="20"/>
          <w:szCs w:val="20"/>
        </w:rPr>
        <w:t>Üniversitemizin kalite güvence sistemi kapsamında karar alma süreçlerinin etkililiğini artırmak, dış paydaş görüşlerinin sistematik ve sürdürülebilir şekilde alınmasını sağlamak, paydaş memnuniyetini ölçmek ve üniversitenin eğitim-öğretim, araştırma-geliştirme ve toplumsal katkı faaliyetlerinin paydaş beklentileriyle uyumunu güçlendirmek amacıyla, dış paydaşların tanımlanmasına ve paydaş analizinin yapılmasına ihtiyaç duyulmuştur.</w:t>
      </w:r>
    </w:p>
    <w:p w:rsidR="00DD1F39" w:rsidRDefault="00DD1F39" w:rsidP="00DD1F39">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İçeriği:</w:t>
      </w:r>
    </w:p>
    <w:p w:rsidR="003B0EAD" w:rsidRDefault="00DD1F39" w:rsidP="003B0EAD">
      <w:pPr>
        <w:tabs>
          <w:tab w:val="left" w:pos="1418"/>
        </w:tabs>
        <w:spacing w:before="240" w:after="240" w:line="276" w:lineRule="auto"/>
        <w:ind w:left="720"/>
        <w:jc w:val="both"/>
        <w:rPr>
          <w:rFonts w:ascii="Cambria" w:hAnsi="Cambria"/>
          <w:color w:val="000000"/>
          <w:sz w:val="20"/>
          <w:szCs w:val="20"/>
        </w:rPr>
      </w:pPr>
      <w:r w:rsidRPr="00590768">
        <w:rPr>
          <w:rFonts w:ascii="Cambria" w:hAnsi="Cambria"/>
          <w:color w:val="000000"/>
          <w:sz w:val="20"/>
          <w:szCs w:val="20"/>
        </w:rPr>
        <w:t xml:space="preserve">Üniversitemizin kalite güvence sistemi ve Çağ Üniversitesi ekosistemi yaklaşımı doğrultusunda, karar alma süreçlerine dış paydaş görüşlerinin sistematik olarak dahil edilmesi ve düzenli olarak memnuniyetlerinin ölçülmesi amacıyla; üniversitemizin eğitim-öğretim, araştırma-geliştirme ve toplumsal katkı faaliyetleriyle ilişkili kamu kurumları, özel sektör temsilcileri, meslek kuruluşları, sivil </w:t>
      </w:r>
      <w:r w:rsidRPr="00590768">
        <w:rPr>
          <w:rFonts w:ascii="Cambria" w:hAnsi="Cambria"/>
          <w:color w:val="000000"/>
          <w:sz w:val="20"/>
          <w:szCs w:val="20"/>
        </w:rPr>
        <w:lastRenderedPageBreak/>
        <w:t>toplum örgütleri ve diğer paydaşları kapsayan dış paydaş listesinin oluşturulmasına ve bu listenin kalite güvence ve paydaş yönetimi süreçlerinde kullanılmasına karar verilmiştir.</w:t>
      </w:r>
    </w:p>
    <w:p w:rsidR="004A7A1B" w:rsidRPr="003B0EAD" w:rsidRDefault="00B46E07" w:rsidP="003B0EAD">
      <w:pPr>
        <w:tabs>
          <w:tab w:val="left" w:pos="1418"/>
        </w:tabs>
        <w:spacing w:before="240" w:after="240" w:line="276" w:lineRule="auto"/>
        <w:jc w:val="both"/>
        <w:rPr>
          <w:rFonts w:ascii="Cambria" w:hAnsi="Cambria"/>
          <w:color w:val="000000"/>
          <w:sz w:val="20"/>
          <w:szCs w:val="20"/>
        </w:rPr>
      </w:pPr>
      <w:r w:rsidRPr="001F5300">
        <w:rPr>
          <w:rFonts w:asciiTheme="majorHAnsi" w:hAnsiTheme="majorHAnsi" w:cs="Times New Roman"/>
          <w:b/>
          <w:sz w:val="20"/>
          <w:szCs w:val="20"/>
        </w:rPr>
        <w:t>Karar No</w:t>
      </w:r>
      <w:r>
        <w:rPr>
          <w:rFonts w:asciiTheme="majorHAnsi" w:hAnsiTheme="majorHAnsi" w:cs="Times New Roman"/>
          <w:b/>
          <w:sz w:val="20"/>
          <w:szCs w:val="20"/>
        </w:rPr>
        <w:t xml:space="preserve"> 7</w:t>
      </w:r>
      <w:r w:rsidRPr="001F5300">
        <w:rPr>
          <w:rFonts w:asciiTheme="majorHAnsi" w:hAnsiTheme="majorHAnsi" w:cs="Times New Roman"/>
          <w:b/>
          <w:sz w:val="20"/>
          <w:szCs w:val="20"/>
        </w:rPr>
        <w:t xml:space="preserve">: </w:t>
      </w:r>
    </w:p>
    <w:p w:rsidR="003A7E54" w:rsidRPr="00354121" w:rsidRDefault="003A7E54" w:rsidP="003A7E54">
      <w:pPr>
        <w:pStyle w:val="NormalWeb"/>
        <w:ind w:left="720"/>
        <w:jc w:val="both"/>
        <w:rPr>
          <w:rFonts w:ascii="Cambria" w:hAnsi="Cambria"/>
          <w:color w:val="000000"/>
          <w:sz w:val="20"/>
          <w:szCs w:val="20"/>
        </w:rPr>
      </w:pPr>
      <w:r w:rsidRPr="00354121">
        <w:rPr>
          <w:rFonts w:ascii="Cambria" w:hAnsi="Cambria"/>
          <w:color w:val="000000"/>
          <w:sz w:val="20"/>
          <w:szCs w:val="20"/>
        </w:rPr>
        <w:t>Dış paydaş katılımının kurumsal ve sürdürülebilir bir yapı altında yürütülmesi amacıyla, dış paydaş listesinde yer alan ve üniversitemiz açısından stratejik öneme sahip kurum ve kuruluş temsilcilerinden oluşan Üniversite Danışma Kurulu’nun oluşturulmasına karar verilmiştir</w:t>
      </w:r>
    </w:p>
    <w:p w:rsidR="003A7E54" w:rsidRDefault="003A7E54" w:rsidP="003A7E54">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Gerekçesi:</w:t>
      </w:r>
    </w:p>
    <w:p w:rsidR="003A7E54" w:rsidRPr="002F211E" w:rsidRDefault="003A7E54" w:rsidP="003A7E54">
      <w:pPr>
        <w:tabs>
          <w:tab w:val="left" w:pos="1418"/>
        </w:tabs>
        <w:spacing w:before="240"/>
        <w:ind w:left="720"/>
        <w:jc w:val="both"/>
        <w:rPr>
          <w:rFonts w:ascii="Cambria" w:hAnsi="Cambria" w:cs="Times New Roman"/>
          <w:sz w:val="20"/>
          <w:szCs w:val="20"/>
        </w:rPr>
      </w:pPr>
      <w:r w:rsidRPr="002F211E">
        <w:rPr>
          <w:rFonts w:ascii="Cambria" w:hAnsi="Cambria"/>
          <w:color w:val="000000"/>
          <w:sz w:val="20"/>
          <w:szCs w:val="20"/>
        </w:rPr>
        <w:t>Üniversitemizin karar alma süreçlerinde dış paydaş görüşlerinin daha etkin, sistematik ve sürdürülebilir şekilde alınmasını sağlamak; eğitim-öğretim, araştırma-geliştirme ve toplumsal katkı faaliyetlerinin paydaş beklentileriyle uyumunu güçlendirmek ve kurumsal iş birliklerini geliştirmek amacıyla, dış paydaş katılımını kurumsal bir yapı altında ele alma ihtiyacı doğmuştur.</w:t>
      </w:r>
    </w:p>
    <w:p w:rsidR="003A7E54" w:rsidRDefault="003A7E54" w:rsidP="003A7E54">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İçeriği:</w:t>
      </w:r>
    </w:p>
    <w:p w:rsidR="003A7E54" w:rsidRDefault="003A7E54" w:rsidP="003A7E54">
      <w:pPr>
        <w:tabs>
          <w:tab w:val="left" w:pos="1418"/>
        </w:tabs>
        <w:spacing w:before="240" w:after="240" w:line="276" w:lineRule="auto"/>
        <w:ind w:left="720"/>
        <w:jc w:val="both"/>
        <w:rPr>
          <w:rFonts w:ascii="Cambria" w:hAnsi="Cambria"/>
          <w:b/>
          <w:bCs/>
          <w:color w:val="000000"/>
          <w:sz w:val="20"/>
          <w:szCs w:val="20"/>
        </w:rPr>
      </w:pPr>
      <w:r w:rsidRPr="002F211E">
        <w:rPr>
          <w:rFonts w:ascii="Cambria" w:hAnsi="Cambria"/>
          <w:color w:val="000000"/>
          <w:sz w:val="20"/>
          <w:szCs w:val="20"/>
        </w:rPr>
        <w:t>Dış paydaş katılımının kurumsal ve sürdürülebilir bir yapı altında yürütülmesi amacıyla, dış paydaş listesinde yer alan ve üniversitemiz açısından stratejik öneme sahip kamu kurumları, özel sektör, meslek kuruluşları ve sivil toplum örgütleri temsilcilerinden oluşan Üniversite Danışma Kurulu’nun oluşturulmasına; Danışma Kurulu’nun kalite güvence, paydaş yönetimi ve stratejik gelişim süreçlerine görüş ve önerileriyle katkı sağlamasına karar verilmiştir.</w:t>
      </w:r>
    </w:p>
    <w:p w:rsidR="003B0EAD" w:rsidRPr="00005720" w:rsidRDefault="003B0EAD" w:rsidP="003B0EAD">
      <w:pPr>
        <w:pStyle w:val="NormalWeb"/>
        <w:spacing w:before="240" w:beforeAutospacing="0" w:after="0" w:afterAutospacing="0" w:line="276" w:lineRule="auto"/>
        <w:rPr>
          <w:rFonts w:asciiTheme="majorHAnsi" w:hAnsiTheme="majorHAnsi"/>
          <w:b/>
          <w:bCs/>
          <w:sz w:val="20"/>
          <w:szCs w:val="20"/>
        </w:rPr>
      </w:pPr>
      <w:r w:rsidRPr="00005720">
        <w:rPr>
          <w:rFonts w:asciiTheme="majorHAnsi" w:hAnsiTheme="majorHAnsi"/>
          <w:b/>
          <w:bCs/>
          <w:sz w:val="20"/>
          <w:szCs w:val="20"/>
        </w:rPr>
        <w:t xml:space="preserve">Karar No </w:t>
      </w:r>
      <w:r>
        <w:rPr>
          <w:rFonts w:asciiTheme="majorHAnsi" w:hAnsiTheme="majorHAnsi"/>
          <w:b/>
          <w:bCs/>
          <w:sz w:val="20"/>
          <w:szCs w:val="20"/>
        </w:rPr>
        <w:t>8</w:t>
      </w:r>
      <w:r w:rsidRPr="00005720">
        <w:rPr>
          <w:rFonts w:asciiTheme="majorHAnsi" w:hAnsiTheme="majorHAnsi"/>
          <w:b/>
          <w:bCs/>
          <w:sz w:val="20"/>
          <w:szCs w:val="20"/>
        </w:rPr>
        <w:t>:</w:t>
      </w:r>
    </w:p>
    <w:p w:rsidR="003B0EAD" w:rsidRDefault="003B0EAD" w:rsidP="003B0EAD">
      <w:pPr>
        <w:pStyle w:val="NormalWeb"/>
        <w:spacing w:before="240" w:beforeAutospacing="0" w:after="0" w:afterAutospacing="0" w:line="276" w:lineRule="auto"/>
        <w:ind w:left="720"/>
        <w:rPr>
          <w:rFonts w:asciiTheme="majorHAnsi" w:hAnsiTheme="majorHAnsi"/>
          <w:color w:val="000000"/>
          <w:sz w:val="20"/>
          <w:szCs w:val="20"/>
        </w:rPr>
      </w:pPr>
      <w:r w:rsidRPr="00005720">
        <w:rPr>
          <w:rFonts w:asciiTheme="majorHAnsi" w:hAnsiTheme="majorHAnsi"/>
          <w:color w:val="000000"/>
          <w:sz w:val="20"/>
          <w:szCs w:val="20"/>
        </w:rPr>
        <w:t xml:space="preserve">Çağ Üniversitesi’nin UI </w:t>
      </w:r>
      <w:proofErr w:type="spellStart"/>
      <w:r w:rsidRPr="00005720">
        <w:rPr>
          <w:rFonts w:asciiTheme="majorHAnsi" w:hAnsiTheme="majorHAnsi"/>
          <w:color w:val="000000"/>
          <w:sz w:val="20"/>
          <w:szCs w:val="20"/>
        </w:rPr>
        <w:t>GreenMetric</w:t>
      </w:r>
      <w:proofErr w:type="spellEnd"/>
      <w:r w:rsidRPr="00005720">
        <w:rPr>
          <w:rFonts w:asciiTheme="majorHAnsi" w:hAnsiTheme="majorHAnsi"/>
          <w:color w:val="000000"/>
          <w:sz w:val="20"/>
          <w:szCs w:val="20"/>
        </w:rPr>
        <w:t xml:space="preserve"> 2025 sıralamasında 612. sıraya yükselmesi memnuniyetle karşılanmış olup, elde edilen başarının sürdürülebilirlik çalışmaları kapsamında geliştirilerek devam ettirilmesine karar verilmiştir.</w:t>
      </w:r>
    </w:p>
    <w:p w:rsidR="003B0EAD" w:rsidRDefault="003B0EAD" w:rsidP="003B0EAD">
      <w:pPr>
        <w:pStyle w:val="NormalWeb"/>
        <w:spacing w:before="240" w:beforeAutospacing="0" w:after="0" w:afterAutospacing="0" w:line="276" w:lineRule="auto"/>
        <w:rPr>
          <w:rFonts w:asciiTheme="majorHAnsi" w:hAnsiTheme="majorHAnsi"/>
          <w:color w:val="000000"/>
          <w:sz w:val="20"/>
          <w:szCs w:val="20"/>
        </w:rPr>
      </w:pPr>
      <w:r>
        <w:rPr>
          <w:rFonts w:asciiTheme="majorHAnsi" w:hAnsiTheme="majorHAnsi"/>
          <w:color w:val="000000"/>
          <w:sz w:val="20"/>
          <w:szCs w:val="20"/>
        </w:rPr>
        <w:t>Kararın Gerekçesi:</w:t>
      </w:r>
    </w:p>
    <w:p w:rsidR="003B0EAD" w:rsidRPr="00005720" w:rsidRDefault="003B0EAD" w:rsidP="003B0EAD">
      <w:pPr>
        <w:pStyle w:val="NormalWeb"/>
        <w:spacing w:before="240" w:beforeAutospacing="0" w:after="0" w:afterAutospacing="0" w:line="276" w:lineRule="auto"/>
        <w:ind w:left="720"/>
        <w:rPr>
          <w:rFonts w:ascii="Cambria" w:hAnsi="Cambria"/>
          <w:color w:val="000000"/>
          <w:sz w:val="20"/>
          <w:szCs w:val="20"/>
        </w:rPr>
      </w:pPr>
      <w:r w:rsidRPr="00005720">
        <w:rPr>
          <w:rFonts w:ascii="Cambria" w:hAnsi="Cambria"/>
          <w:color w:val="000000"/>
          <w:sz w:val="20"/>
          <w:szCs w:val="20"/>
        </w:rPr>
        <w:t xml:space="preserve">UI </w:t>
      </w:r>
      <w:proofErr w:type="spellStart"/>
      <w:r w:rsidRPr="00005720">
        <w:rPr>
          <w:rFonts w:ascii="Cambria" w:hAnsi="Cambria"/>
          <w:color w:val="000000"/>
          <w:sz w:val="20"/>
          <w:szCs w:val="20"/>
        </w:rPr>
        <w:t>GreenMetric</w:t>
      </w:r>
      <w:proofErr w:type="spellEnd"/>
      <w:r w:rsidRPr="00005720">
        <w:rPr>
          <w:rFonts w:ascii="Cambria" w:hAnsi="Cambria"/>
          <w:color w:val="000000"/>
          <w:sz w:val="20"/>
          <w:szCs w:val="20"/>
        </w:rPr>
        <w:t xml:space="preserve"> 2025 sıralamasında elde edilen yükselişin, üniversitenin sürdürülebilirlik alanındaki performansını göstermesi ve bu başarının kurumsal olarak devamlılığının sağlanmasının gerekli görülmesi nedeniyle bu karar alınmıştır.</w:t>
      </w:r>
    </w:p>
    <w:p w:rsidR="003B0EAD" w:rsidRDefault="003B0EAD" w:rsidP="003B0EAD">
      <w:pPr>
        <w:pStyle w:val="NormalWeb"/>
        <w:spacing w:before="240" w:beforeAutospacing="0" w:after="0" w:afterAutospacing="0" w:line="276" w:lineRule="auto"/>
        <w:rPr>
          <w:rFonts w:asciiTheme="majorHAnsi" w:hAnsiTheme="majorHAnsi"/>
          <w:color w:val="000000"/>
          <w:sz w:val="20"/>
          <w:szCs w:val="20"/>
        </w:rPr>
      </w:pPr>
      <w:r>
        <w:rPr>
          <w:rFonts w:asciiTheme="majorHAnsi" w:hAnsiTheme="majorHAnsi"/>
          <w:color w:val="000000"/>
          <w:sz w:val="20"/>
          <w:szCs w:val="20"/>
        </w:rPr>
        <w:t>Kararın İçeriği:</w:t>
      </w:r>
    </w:p>
    <w:p w:rsidR="003B0EAD" w:rsidRPr="00005720" w:rsidRDefault="003B0EAD" w:rsidP="003B0EAD">
      <w:pPr>
        <w:pStyle w:val="NormalWeb"/>
        <w:spacing w:before="240" w:beforeAutospacing="0" w:after="0" w:afterAutospacing="0" w:line="276" w:lineRule="auto"/>
        <w:ind w:left="720"/>
        <w:rPr>
          <w:rFonts w:ascii="Cambria" w:hAnsi="Cambria"/>
          <w:color w:val="000000"/>
          <w:sz w:val="20"/>
          <w:szCs w:val="20"/>
        </w:rPr>
      </w:pPr>
      <w:r w:rsidRPr="00005720">
        <w:rPr>
          <w:rFonts w:ascii="Cambria" w:hAnsi="Cambria"/>
          <w:color w:val="000000"/>
          <w:sz w:val="20"/>
          <w:szCs w:val="20"/>
        </w:rPr>
        <w:t xml:space="preserve">UI </w:t>
      </w:r>
      <w:proofErr w:type="spellStart"/>
      <w:r w:rsidRPr="00005720">
        <w:rPr>
          <w:rFonts w:ascii="Cambria" w:hAnsi="Cambria"/>
          <w:color w:val="000000"/>
          <w:sz w:val="20"/>
          <w:szCs w:val="20"/>
        </w:rPr>
        <w:t>GreenMetric</w:t>
      </w:r>
      <w:proofErr w:type="spellEnd"/>
      <w:r w:rsidRPr="00005720">
        <w:rPr>
          <w:rFonts w:ascii="Cambria" w:hAnsi="Cambria"/>
          <w:color w:val="000000"/>
          <w:sz w:val="20"/>
          <w:szCs w:val="20"/>
        </w:rPr>
        <w:t xml:space="preserve"> sıralamasında elde edilen sonucun değerlendirilmesi, sürdürülebilirlik alanında yürütülen mevcut çalışmaların gözden geçirilmesi ve bu alandaki faaliyetlerin geliştirilerek sürdürülmesine yönelik yapılacak çalışmaların planlanması.</w:t>
      </w:r>
    </w:p>
    <w:p w:rsidR="004A7A1B" w:rsidRDefault="004A7A1B" w:rsidP="00291884">
      <w:pPr>
        <w:jc w:val="both"/>
        <w:rPr>
          <w:rFonts w:asciiTheme="majorHAnsi" w:hAnsiTheme="majorHAnsi" w:cs="Times New Roman"/>
          <w:b/>
          <w:sz w:val="20"/>
          <w:szCs w:val="20"/>
        </w:rPr>
      </w:pPr>
    </w:p>
    <w:p w:rsidR="004A7A1B" w:rsidRDefault="004A7A1B" w:rsidP="00291884">
      <w:pPr>
        <w:jc w:val="both"/>
        <w:rPr>
          <w:rFonts w:asciiTheme="majorHAnsi" w:hAnsiTheme="majorHAnsi" w:cs="Times New Roman"/>
          <w:b/>
          <w:sz w:val="20"/>
          <w:szCs w:val="20"/>
        </w:rPr>
      </w:pPr>
    </w:p>
    <w:p w:rsidR="004A7A1B" w:rsidRDefault="004A7A1B" w:rsidP="00291884">
      <w:pPr>
        <w:jc w:val="both"/>
        <w:rPr>
          <w:rFonts w:asciiTheme="majorHAnsi" w:hAnsiTheme="majorHAnsi" w:cs="Times New Roman"/>
          <w:b/>
          <w:sz w:val="20"/>
          <w:szCs w:val="20"/>
        </w:rPr>
      </w:pPr>
    </w:p>
    <w:p w:rsidR="004A7A1B" w:rsidRDefault="004A7A1B" w:rsidP="00291884">
      <w:pPr>
        <w:jc w:val="both"/>
        <w:rPr>
          <w:rFonts w:asciiTheme="majorHAnsi" w:hAnsiTheme="majorHAnsi" w:cs="Times New Roman"/>
          <w:b/>
          <w:sz w:val="20"/>
          <w:szCs w:val="20"/>
        </w:rPr>
      </w:pPr>
    </w:p>
    <w:p w:rsidR="004A7A1B" w:rsidRDefault="004A7A1B" w:rsidP="00291884">
      <w:pPr>
        <w:jc w:val="both"/>
        <w:rPr>
          <w:rFonts w:asciiTheme="majorHAnsi" w:hAnsiTheme="majorHAnsi" w:cs="Times New Roman"/>
          <w:b/>
          <w:sz w:val="20"/>
          <w:szCs w:val="20"/>
        </w:rPr>
      </w:pPr>
    </w:p>
    <w:p w:rsidR="004A7A1B" w:rsidRDefault="004A7A1B" w:rsidP="00291884">
      <w:pPr>
        <w:jc w:val="both"/>
        <w:rPr>
          <w:rFonts w:asciiTheme="majorHAnsi" w:hAnsiTheme="majorHAnsi" w:cs="Times New Roman"/>
          <w:b/>
          <w:sz w:val="20"/>
          <w:szCs w:val="20"/>
        </w:rPr>
      </w:pPr>
    </w:p>
    <w:p w:rsidR="00D32A35"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lastRenderedPageBreak/>
        <w:t>Toplantıya Katılanlar:</w:t>
      </w:r>
    </w:p>
    <w:p w:rsidR="007D3C81" w:rsidRPr="00E97063" w:rsidRDefault="007D3C81" w:rsidP="00291884">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1928"/>
        <w:gridCol w:w="1611"/>
        <w:gridCol w:w="1372"/>
        <w:gridCol w:w="1773"/>
        <w:gridCol w:w="1863"/>
        <w:gridCol w:w="1396"/>
      </w:tblGrid>
      <w:tr w:rsidR="000E0D64" w:rsidRPr="008D7F44" w:rsidTr="000E0D64">
        <w:trPr>
          <w:jc w:val="center"/>
        </w:trPr>
        <w:tc>
          <w:tcPr>
            <w:tcW w:w="1928"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611"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72"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c>
          <w:tcPr>
            <w:tcW w:w="177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86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96"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 </w:t>
            </w:r>
            <w:r w:rsidR="000E0D64" w:rsidRPr="008D7F44">
              <w:rPr>
                <w:rFonts w:asciiTheme="majorHAnsi" w:hAnsiTheme="majorHAnsi" w:cs="Arial"/>
                <w:color w:val="292B2C"/>
                <w:sz w:val="20"/>
                <w:szCs w:val="20"/>
              </w:rPr>
              <w:t>Prof. Dr. Murat KOÇ</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Rektör, Komisyon Başkanı</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8. </w:t>
            </w:r>
            <w:r w:rsidR="000E0D64" w:rsidRPr="008D7F44">
              <w:rPr>
                <w:rFonts w:asciiTheme="majorHAnsi" w:hAnsiTheme="majorHAnsi" w:cs="Arial"/>
                <w:color w:val="292B2C"/>
                <w:sz w:val="20"/>
                <w:szCs w:val="20"/>
              </w:rPr>
              <w:t>Dr. Öğr. Üyesi Duygu GÜR,</w:t>
            </w:r>
          </w:p>
        </w:tc>
        <w:tc>
          <w:tcPr>
            <w:tcW w:w="1863" w:type="dxa"/>
            <w:vAlign w:val="center"/>
          </w:tcPr>
          <w:p w:rsidR="007D3C81" w:rsidRPr="008D7F44" w:rsidRDefault="000E0D64" w:rsidP="000E0D64">
            <w:pPr>
              <w:pStyle w:val="NormalWeb"/>
              <w:spacing w:before="0" w:beforeAutospacing="0"/>
              <w:rPr>
                <w:rFonts w:asciiTheme="majorHAnsi" w:hAnsiTheme="majorHAnsi" w:cs="Arial"/>
                <w:color w:val="292B2C"/>
                <w:sz w:val="20"/>
                <w:szCs w:val="20"/>
              </w:rPr>
            </w:pPr>
            <w:r w:rsidRPr="008D7F44">
              <w:rPr>
                <w:rFonts w:asciiTheme="majorHAnsi" w:hAnsiTheme="majorHAnsi" w:cs="Arial"/>
                <w:color w:val="292B2C"/>
                <w:sz w:val="20"/>
                <w:szCs w:val="20"/>
              </w:rPr>
              <w:t>Kalite Yönetimi Koordinatör Yardımcısı</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2. </w:t>
            </w:r>
            <w:r w:rsidR="000E0D64" w:rsidRPr="008D7F44">
              <w:rPr>
                <w:rFonts w:asciiTheme="majorHAnsi" w:hAnsiTheme="majorHAnsi" w:cs="Arial"/>
                <w:color w:val="292B2C"/>
                <w:sz w:val="20"/>
                <w:szCs w:val="20"/>
              </w:rPr>
              <w:t>Prof. Dr. Mahir FİSUNOĞLU</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Kaliteden Sorumlu Rektör Yardımcısı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9. </w:t>
            </w:r>
            <w:r w:rsidR="000E0D64" w:rsidRPr="008D7F44">
              <w:rPr>
                <w:rFonts w:asciiTheme="majorHAnsi" w:hAnsiTheme="majorHAnsi" w:cs="Arial"/>
                <w:color w:val="292B2C"/>
                <w:sz w:val="20"/>
                <w:szCs w:val="20"/>
              </w:rPr>
              <w:t>Dr. Öğr. Üyesi Süreyya YILMAZ ÖZEKENCİ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3. </w:t>
            </w:r>
            <w:r w:rsidR="000E0D64" w:rsidRPr="008D7F44">
              <w:rPr>
                <w:rFonts w:asciiTheme="majorHAnsi" w:hAnsiTheme="majorHAnsi" w:cs="Arial"/>
                <w:color w:val="292B2C"/>
                <w:sz w:val="20"/>
                <w:szCs w:val="20"/>
              </w:rPr>
              <w:t>Doç. Dr. Şenol KANDEMİR</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 Yönetimi Koordinatörü, Genel Sekreter</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10. </w:t>
            </w:r>
            <w:r w:rsidR="000E0D64" w:rsidRPr="008D7F44">
              <w:rPr>
                <w:rFonts w:asciiTheme="majorHAnsi" w:hAnsiTheme="majorHAnsi" w:cs="Arial"/>
                <w:color w:val="292B2C"/>
                <w:sz w:val="20"/>
                <w:szCs w:val="20"/>
              </w:rPr>
              <w:t>Dr. Öğr. Üyesi Seyfettin ÖZDEMİREL</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Fen Edebiyat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4. </w:t>
            </w:r>
            <w:r w:rsidR="000E0D64" w:rsidRPr="008D7F44">
              <w:rPr>
                <w:rFonts w:asciiTheme="majorHAnsi" w:hAnsiTheme="majorHAnsi" w:cs="Arial"/>
                <w:color w:val="292B2C"/>
                <w:sz w:val="20"/>
                <w:szCs w:val="20"/>
              </w:rPr>
              <w:t>Prof. Dr. Eda YAŞA ÖZELTÜRKAY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Araştırma Geliştirme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11. </w:t>
            </w:r>
            <w:r w:rsidR="000E0D64" w:rsidRPr="008D7F44">
              <w:rPr>
                <w:rFonts w:asciiTheme="majorHAnsi" w:hAnsiTheme="majorHAnsi" w:cs="Arial"/>
                <w:color w:val="292B2C"/>
                <w:sz w:val="20"/>
                <w:szCs w:val="20"/>
              </w:rPr>
              <w:t>Dr. Öğr. Üyesi Yunus Anıl AY</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Hukuk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5. </w:t>
            </w:r>
            <w:r w:rsidR="000E0D64" w:rsidRPr="008D7F44">
              <w:rPr>
                <w:rFonts w:asciiTheme="majorHAnsi" w:hAnsiTheme="majorHAnsi" w:cs="Arial"/>
                <w:color w:val="292B2C"/>
                <w:sz w:val="20"/>
                <w:szCs w:val="20"/>
              </w:rPr>
              <w:t>Dr. Öğr. Üyesi Gürcan DEMİROGLARI</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Eğitim Öğretim Koordinatörü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12. </w:t>
            </w:r>
            <w:r w:rsidR="000E0D64" w:rsidRPr="008D7F44">
              <w:rPr>
                <w:rFonts w:asciiTheme="majorHAnsi" w:hAnsiTheme="majorHAnsi" w:cs="Arial"/>
                <w:color w:val="292B2C"/>
                <w:sz w:val="20"/>
                <w:szCs w:val="20"/>
              </w:rPr>
              <w:t>Öğr. Gör. Oğuzhan ÇAVUŞOĞLU</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53"/>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6. </w:t>
            </w:r>
            <w:r w:rsidR="000E0D64" w:rsidRPr="008D7F44">
              <w:rPr>
                <w:rFonts w:asciiTheme="majorHAnsi" w:hAnsiTheme="majorHAnsi" w:cs="Arial"/>
                <w:color w:val="292B2C"/>
                <w:sz w:val="20"/>
                <w:szCs w:val="20"/>
              </w:rPr>
              <w:t xml:space="preserve">Dr. Öğr. Üyesi </w:t>
            </w:r>
            <w:proofErr w:type="gramStart"/>
            <w:r w:rsidR="000E0D64" w:rsidRPr="008D7F44">
              <w:rPr>
                <w:rFonts w:asciiTheme="majorHAnsi" w:hAnsiTheme="majorHAnsi" w:cs="Arial"/>
                <w:color w:val="292B2C"/>
                <w:sz w:val="20"/>
                <w:szCs w:val="20"/>
              </w:rPr>
              <w:t>Semiha</w:t>
            </w:r>
            <w:proofErr w:type="gramEnd"/>
            <w:r w:rsidR="000E0D64" w:rsidRPr="008D7F44">
              <w:rPr>
                <w:rFonts w:asciiTheme="majorHAnsi" w:hAnsiTheme="majorHAnsi" w:cs="Arial"/>
                <w:color w:val="292B2C"/>
                <w:sz w:val="20"/>
                <w:szCs w:val="20"/>
              </w:rPr>
              <w:t xml:space="preserve"> GÜRSOY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Müdürü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13. </w:t>
            </w:r>
            <w:r w:rsidR="000E0D64" w:rsidRPr="008D7F44">
              <w:rPr>
                <w:rFonts w:asciiTheme="majorHAnsi" w:hAnsiTheme="majorHAnsi" w:cs="Arial"/>
                <w:color w:val="292B2C"/>
                <w:sz w:val="20"/>
                <w:szCs w:val="20"/>
              </w:rPr>
              <w:t>Öğr. Gör. Tuğçe KANDİLCİ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667"/>
          <w:jc w:val="center"/>
        </w:trPr>
        <w:tc>
          <w:tcPr>
            <w:tcW w:w="1928" w:type="dxa"/>
            <w:vAlign w:val="center"/>
          </w:tcPr>
          <w:p w:rsidR="007D3C81" w:rsidRPr="008D7F44" w:rsidRDefault="007D3C81" w:rsidP="000E0D64">
            <w:pPr>
              <w:pStyle w:val="AralkYok"/>
              <w:spacing w:after="240"/>
              <w:rPr>
                <w:rFonts w:asciiTheme="majorHAnsi" w:hAnsiTheme="majorHAnsi"/>
                <w:sz w:val="20"/>
                <w:szCs w:val="20"/>
              </w:rPr>
            </w:pPr>
            <w:r w:rsidRPr="008D7F44">
              <w:rPr>
                <w:rFonts w:asciiTheme="majorHAnsi" w:hAnsiTheme="majorHAnsi"/>
                <w:sz w:val="20"/>
                <w:szCs w:val="20"/>
              </w:rPr>
              <w:t xml:space="preserve">7. </w:t>
            </w:r>
            <w:r w:rsidR="000E0D64" w:rsidRPr="008D7F44">
              <w:rPr>
                <w:rFonts w:asciiTheme="majorHAnsi" w:hAnsiTheme="majorHAnsi"/>
                <w:sz w:val="20"/>
                <w:szCs w:val="20"/>
              </w:rPr>
              <w:t xml:space="preserve">Doç. </w:t>
            </w:r>
            <w:r w:rsidR="000E0D64" w:rsidRPr="008D7F44">
              <w:rPr>
                <w:rFonts w:asciiTheme="majorHAnsi" w:hAnsiTheme="majorHAnsi" w:cs="Arial"/>
                <w:color w:val="292B2C"/>
                <w:sz w:val="20"/>
                <w:szCs w:val="20"/>
              </w:rPr>
              <w:t>Dr. Emre ÖZEKENCİ</w:t>
            </w:r>
          </w:p>
        </w:tc>
        <w:tc>
          <w:tcPr>
            <w:tcW w:w="1611" w:type="dxa"/>
            <w:vAlign w:val="center"/>
          </w:tcPr>
          <w:p w:rsidR="007D3C81" w:rsidRPr="008D7F44" w:rsidRDefault="000E0D64" w:rsidP="000E0D64">
            <w:pPr>
              <w:pStyle w:val="AralkYok"/>
              <w:spacing w:after="240"/>
              <w:rPr>
                <w:rFonts w:asciiTheme="majorHAnsi" w:hAnsiTheme="majorHAnsi"/>
                <w:sz w:val="20"/>
                <w:szCs w:val="20"/>
              </w:rPr>
            </w:pPr>
            <w:r w:rsidRPr="008D7F44">
              <w:rPr>
                <w:rFonts w:asciiTheme="majorHAnsi" w:hAnsiTheme="majorHAnsi" w:cs="Arial"/>
                <w:color w:val="292B2C"/>
                <w:sz w:val="20"/>
                <w:szCs w:val="20"/>
              </w:rPr>
              <w:t>Toplumsal Katkı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cs="Times New Roman"/>
                <w:color w:val="000000" w:themeColor="text1"/>
                <w:sz w:val="20"/>
                <w:szCs w:val="20"/>
              </w:rPr>
            </w:pPr>
            <w:r w:rsidRPr="008D7F44">
              <w:rPr>
                <w:rFonts w:asciiTheme="majorHAnsi" w:hAnsiTheme="majorHAnsi" w:cs="Times New Roman"/>
                <w:color w:val="000000" w:themeColor="text1"/>
                <w:sz w:val="20"/>
                <w:szCs w:val="20"/>
              </w:rPr>
              <w:t xml:space="preserve">14. </w:t>
            </w:r>
            <w:r w:rsidR="008D7F44" w:rsidRPr="009D0BBC">
              <w:rPr>
                <w:rFonts w:asciiTheme="majorHAnsi" w:hAnsiTheme="majorHAnsi" w:cs="Times New Roman"/>
                <w:color w:val="000000" w:themeColor="text1"/>
                <w:sz w:val="20"/>
                <w:szCs w:val="20"/>
                <w:shd w:val="clear" w:color="auto" w:fill="FFFFFF"/>
              </w:rPr>
              <w:t>İpek ŞENÖZ</w:t>
            </w:r>
          </w:p>
        </w:tc>
        <w:tc>
          <w:tcPr>
            <w:tcW w:w="1863" w:type="dxa"/>
            <w:vAlign w:val="center"/>
          </w:tcPr>
          <w:p w:rsidR="007D3C81" w:rsidRPr="008D7F44" w:rsidRDefault="000E0D64" w:rsidP="00291884">
            <w:pPr>
              <w:pStyle w:val="AralkYok"/>
              <w:rPr>
                <w:rFonts w:asciiTheme="majorHAnsi" w:hAnsiTheme="majorHAnsi"/>
                <w:color w:val="000000" w:themeColor="text1"/>
                <w:sz w:val="20"/>
                <w:szCs w:val="20"/>
              </w:rPr>
            </w:pPr>
            <w:r w:rsidRPr="008D7F44">
              <w:rPr>
                <w:rFonts w:asciiTheme="majorHAnsi" w:hAnsiTheme="majorHAnsi" w:cs="Arial"/>
                <w:color w:val="000000" w:themeColor="text1"/>
                <w:sz w:val="20"/>
                <w:szCs w:val="20"/>
              </w:rPr>
              <w:t>Öğrenci Temsilcisi, Kalite ve Sürdürülebilirlik Öğrenci Kulübü Başkanı</w:t>
            </w:r>
          </w:p>
        </w:tc>
        <w:tc>
          <w:tcPr>
            <w:tcW w:w="1396" w:type="dxa"/>
            <w:vAlign w:val="center"/>
          </w:tcPr>
          <w:p w:rsidR="007D3C81" w:rsidRPr="008D7F44" w:rsidRDefault="007D3C81" w:rsidP="00291884">
            <w:pPr>
              <w:pStyle w:val="AralkYok"/>
              <w:rPr>
                <w:rFonts w:asciiTheme="majorHAnsi" w:hAnsiTheme="majorHAnsi"/>
                <w:sz w:val="20"/>
                <w:szCs w:val="20"/>
              </w:rPr>
            </w:pPr>
          </w:p>
        </w:tc>
      </w:tr>
    </w:tbl>
    <w:p w:rsidR="000E0D64" w:rsidRPr="00E97063" w:rsidRDefault="000E0D64" w:rsidP="00291884">
      <w:pPr>
        <w:jc w:val="both"/>
        <w:rPr>
          <w:rFonts w:asciiTheme="majorHAnsi" w:hAnsiTheme="majorHAnsi" w:cs="Times New Roman"/>
          <w:b/>
          <w:sz w:val="20"/>
          <w:szCs w:val="20"/>
        </w:rPr>
      </w:pPr>
    </w:p>
    <w:p w:rsidR="000E0D64" w:rsidRPr="00E97063" w:rsidRDefault="000E0D64" w:rsidP="00291884">
      <w:pPr>
        <w:jc w:val="both"/>
        <w:rPr>
          <w:rFonts w:asciiTheme="majorHAnsi" w:hAnsiTheme="majorHAnsi" w:cs="Times New Roman"/>
          <w:b/>
          <w:sz w:val="20"/>
          <w:szCs w:val="20"/>
        </w:rPr>
      </w:pPr>
    </w:p>
    <w:p w:rsidR="001B318F"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t>İzinliler/Görevliler:</w:t>
      </w:r>
    </w:p>
    <w:p w:rsidR="001B318F" w:rsidRPr="00E97063" w:rsidRDefault="001B318F" w:rsidP="00291884">
      <w:pPr>
        <w:jc w:val="both"/>
        <w:rPr>
          <w:rFonts w:asciiTheme="majorHAnsi" w:hAnsiTheme="majorHAnsi" w:cs="Times New Roman"/>
          <w:b/>
          <w:sz w:val="20"/>
          <w:szCs w:val="20"/>
        </w:rPr>
      </w:pPr>
    </w:p>
    <w:p w:rsidR="001B318F" w:rsidRPr="00E97063" w:rsidRDefault="001B318F" w:rsidP="00291884">
      <w:pPr>
        <w:spacing w:before="200"/>
        <w:jc w:val="both"/>
        <w:rPr>
          <w:rFonts w:asciiTheme="majorHAnsi" w:hAnsiTheme="majorHAnsi" w:cs="Times New Roman"/>
          <w:sz w:val="20"/>
          <w:szCs w:val="20"/>
        </w:rPr>
      </w:pPr>
    </w:p>
    <w:p w:rsidR="001B318F" w:rsidRPr="00E97063" w:rsidRDefault="001B318F" w:rsidP="00291884">
      <w:pPr>
        <w:spacing w:before="200"/>
        <w:jc w:val="both"/>
        <w:rPr>
          <w:rFonts w:asciiTheme="majorHAnsi" w:hAnsiTheme="majorHAnsi" w:cs="Times New Roman"/>
          <w:sz w:val="20"/>
          <w:szCs w:val="20"/>
        </w:rPr>
      </w:pPr>
      <w:r w:rsidRPr="00E97063">
        <w:rPr>
          <w:rFonts w:asciiTheme="majorHAnsi" w:hAnsiTheme="majorHAnsi" w:cs="Times New Roman"/>
          <w:b/>
          <w:sz w:val="20"/>
          <w:szCs w:val="20"/>
        </w:rPr>
        <w:t>Toplantıya Katılmayanlar</w:t>
      </w:r>
      <w:r w:rsidRPr="00E97063">
        <w:rPr>
          <w:rFonts w:asciiTheme="majorHAnsi" w:hAnsiTheme="majorHAnsi" w:cs="Times New Roman"/>
          <w:sz w:val="20"/>
          <w:szCs w:val="20"/>
        </w:rPr>
        <w:t xml:space="preserve">: </w:t>
      </w:r>
    </w:p>
    <w:p w:rsidR="001B318F" w:rsidRPr="00E97063" w:rsidRDefault="001B318F" w:rsidP="00291884">
      <w:pPr>
        <w:jc w:val="both"/>
        <w:rPr>
          <w:rFonts w:asciiTheme="majorHAnsi" w:hAnsiTheme="majorHAnsi" w:cs="Times New Roman"/>
          <w:b/>
          <w:sz w:val="20"/>
          <w:szCs w:val="20"/>
        </w:rPr>
      </w:pPr>
    </w:p>
    <w:sectPr w:rsidR="001B318F" w:rsidRPr="00E97063"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1EA8" w:rsidRDefault="00131EA8">
      <w:r>
        <w:separator/>
      </w:r>
    </w:p>
  </w:endnote>
  <w:endnote w:type="continuationSeparator" w:id="0">
    <w:p w:rsidR="00131EA8" w:rsidRDefault="0013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adea">
    <w:altName w:val="Times New Roman"/>
    <w:panose1 w:val="020B0604020202020204"/>
    <w:charset w:val="00"/>
    <w:family w:val="roman"/>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iberationSans">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 xml:space="preserve">Prof. Dr. Mahir </w:t>
          </w:r>
          <w:proofErr w:type="spellStart"/>
          <w:r w:rsidRPr="006A30FD">
            <w:rPr>
              <w:rFonts w:ascii="Cambria" w:hAnsi="Cambria"/>
              <w:sz w:val="16"/>
              <w:szCs w:val="16"/>
            </w:rPr>
            <w:t>Fisunoğlu</w:t>
          </w:r>
          <w:proofErr w:type="spellEnd"/>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1EA8" w:rsidRDefault="00131EA8">
      <w:r>
        <w:separator/>
      </w:r>
    </w:p>
  </w:footnote>
  <w:footnote w:type="continuationSeparator" w:id="0">
    <w:p w:rsidR="00131EA8" w:rsidRDefault="00131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A8F"/>
    <w:multiLevelType w:val="multilevel"/>
    <w:tmpl w:val="CD0CCF62"/>
    <w:lvl w:ilvl="0">
      <w:numFmt w:val="bullet"/>
      <w:lvlText w:val="-"/>
      <w:lvlJc w:val="left"/>
      <w:pPr>
        <w:ind w:left="720" w:hanging="360"/>
      </w:pPr>
      <w:rPr>
        <w:rFonts w:ascii="Caladea" w:eastAsia="Caladea" w:hAnsi="Caladea" w:cs="Caladea" w:hint="default"/>
        <w:b w:val="0"/>
        <w:bCs w:val="0"/>
        <w:i w:val="0"/>
        <w:iCs w:val="0"/>
        <w:spacing w:val="0"/>
        <w:w w:val="99"/>
        <w:sz w:val="22"/>
        <w:szCs w:val="22"/>
        <w:lang w:val="tr-T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A2CF2"/>
    <w:multiLevelType w:val="hybridMultilevel"/>
    <w:tmpl w:val="03BCBF3A"/>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3" w15:restartNumberingAfterBreak="0">
    <w:nsid w:val="26816F44"/>
    <w:multiLevelType w:val="hybridMultilevel"/>
    <w:tmpl w:val="BAFCF08C"/>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15:restartNumberingAfterBreak="0">
    <w:nsid w:val="401C2D9B"/>
    <w:multiLevelType w:val="hybridMultilevel"/>
    <w:tmpl w:val="DD300378"/>
    <w:lvl w:ilvl="0" w:tplc="C8E0C844">
      <w:start w:val="1"/>
      <w:numFmt w:val="bullet"/>
      <w:lvlText w:val="-"/>
      <w:lvlJc w:val="left"/>
      <w:pPr>
        <w:ind w:left="1080" w:hanging="360"/>
      </w:pPr>
      <w:rPr>
        <w:rFonts w:ascii="LiberationSans" w:eastAsia="Times New Roman" w:hAnsi="LiberationSans" w:cs="Times New Roman" w:hint="default"/>
        <w:color w:val="23233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9"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0"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6149F"/>
    <w:multiLevelType w:val="multilevel"/>
    <w:tmpl w:val="0C90497C"/>
    <w:lvl w:ilvl="0">
      <w:start w:val="1"/>
      <w:numFmt w:val="bullet"/>
      <w:lvlText w:val="-"/>
      <w:lvlJc w:val="left"/>
      <w:pPr>
        <w:ind w:left="1080" w:hanging="360"/>
      </w:pPr>
      <w:rPr>
        <w:rFonts w:ascii="LiberationSans" w:eastAsia="Times New Roman" w:hAnsi="LiberationSans" w:cs="Times New Roman" w:hint="default"/>
        <w:color w:val="232335"/>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012031">
    <w:abstractNumId w:val="6"/>
  </w:num>
  <w:num w:numId="2" w16cid:durableId="287398465">
    <w:abstractNumId w:val="9"/>
  </w:num>
  <w:num w:numId="3" w16cid:durableId="1774127035">
    <w:abstractNumId w:val="2"/>
  </w:num>
  <w:num w:numId="4" w16cid:durableId="1358850548">
    <w:abstractNumId w:val="8"/>
  </w:num>
  <w:num w:numId="5" w16cid:durableId="1365014077">
    <w:abstractNumId w:val="4"/>
  </w:num>
  <w:num w:numId="6" w16cid:durableId="1574201113">
    <w:abstractNumId w:val="5"/>
  </w:num>
  <w:num w:numId="7" w16cid:durableId="511266310">
    <w:abstractNumId w:val="10"/>
  </w:num>
  <w:num w:numId="8" w16cid:durableId="1319920242">
    <w:abstractNumId w:val="12"/>
  </w:num>
  <w:num w:numId="9" w16cid:durableId="254049742">
    <w:abstractNumId w:val="0"/>
  </w:num>
  <w:num w:numId="10" w16cid:durableId="1129203579">
    <w:abstractNumId w:val="11"/>
  </w:num>
  <w:num w:numId="11" w16cid:durableId="1508180133">
    <w:abstractNumId w:val="7"/>
  </w:num>
  <w:num w:numId="12" w16cid:durableId="1143694877">
    <w:abstractNumId w:val="3"/>
  </w:num>
  <w:num w:numId="13" w16cid:durableId="19689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477ED"/>
    <w:rsid w:val="00062AFE"/>
    <w:rsid w:val="00092724"/>
    <w:rsid w:val="000A3AA0"/>
    <w:rsid w:val="000A6771"/>
    <w:rsid w:val="000C0E8D"/>
    <w:rsid w:val="000D4130"/>
    <w:rsid w:val="000D67BC"/>
    <w:rsid w:val="000E0D64"/>
    <w:rsid w:val="000F3CBA"/>
    <w:rsid w:val="00126EDA"/>
    <w:rsid w:val="00131EA8"/>
    <w:rsid w:val="00197D6B"/>
    <w:rsid w:val="001B318F"/>
    <w:rsid w:val="001B6678"/>
    <w:rsid w:val="001C1A2D"/>
    <w:rsid w:val="001E4861"/>
    <w:rsid w:val="001F5300"/>
    <w:rsid w:val="002038B9"/>
    <w:rsid w:val="0025015E"/>
    <w:rsid w:val="0025205A"/>
    <w:rsid w:val="00275474"/>
    <w:rsid w:val="00280B6D"/>
    <w:rsid w:val="00291884"/>
    <w:rsid w:val="002A518F"/>
    <w:rsid w:val="002C0006"/>
    <w:rsid w:val="002C6E61"/>
    <w:rsid w:val="002C7147"/>
    <w:rsid w:val="002C7DC2"/>
    <w:rsid w:val="003007A8"/>
    <w:rsid w:val="00303D0B"/>
    <w:rsid w:val="00343B76"/>
    <w:rsid w:val="00345C8A"/>
    <w:rsid w:val="003550F0"/>
    <w:rsid w:val="003A17B9"/>
    <w:rsid w:val="003A7E54"/>
    <w:rsid w:val="003B0EAD"/>
    <w:rsid w:val="003F1F4D"/>
    <w:rsid w:val="00415F48"/>
    <w:rsid w:val="00436C99"/>
    <w:rsid w:val="00462B6E"/>
    <w:rsid w:val="004A4128"/>
    <w:rsid w:val="004A7A1B"/>
    <w:rsid w:val="004B2C61"/>
    <w:rsid w:val="004C4679"/>
    <w:rsid w:val="004D2C91"/>
    <w:rsid w:val="00500379"/>
    <w:rsid w:val="00504469"/>
    <w:rsid w:val="00562F6C"/>
    <w:rsid w:val="00591BA9"/>
    <w:rsid w:val="005A0610"/>
    <w:rsid w:val="005C0626"/>
    <w:rsid w:val="005F68C7"/>
    <w:rsid w:val="0062090D"/>
    <w:rsid w:val="00624C8B"/>
    <w:rsid w:val="00644834"/>
    <w:rsid w:val="0064649F"/>
    <w:rsid w:val="00652590"/>
    <w:rsid w:val="00661CD8"/>
    <w:rsid w:val="00687EA6"/>
    <w:rsid w:val="006C3210"/>
    <w:rsid w:val="006C75DE"/>
    <w:rsid w:val="006D1517"/>
    <w:rsid w:val="00737DEA"/>
    <w:rsid w:val="00741429"/>
    <w:rsid w:val="00747ED3"/>
    <w:rsid w:val="0077254D"/>
    <w:rsid w:val="00774ED1"/>
    <w:rsid w:val="00784D89"/>
    <w:rsid w:val="007B25EE"/>
    <w:rsid w:val="007B2C4C"/>
    <w:rsid w:val="007C014B"/>
    <w:rsid w:val="007C4FA9"/>
    <w:rsid w:val="007D3C81"/>
    <w:rsid w:val="007D58A1"/>
    <w:rsid w:val="00812FF6"/>
    <w:rsid w:val="0083761B"/>
    <w:rsid w:val="00845059"/>
    <w:rsid w:val="00845169"/>
    <w:rsid w:val="00851E54"/>
    <w:rsid w:val="008D64AA"/>
    <w:rsid w:val="008D7F44"/>
    <w:rsid w:val="008F30AD"/>
    <w:rsid w:val="009255C5"/>
    <w:rsid w:val="00993E27"/>
    <w:rsid w:val="00996790"/>
    <w:rsid w:val="009D0BBC"/>
    <w:rsid w:val="009E4FF3"/>
    <w:rsid w:val="00A03B0F"/>
    <w:rsid w:val="00A0413E"/>
    <w:rsid w:val="00A07500"/>
    <w:rsid w:val="00A24729"/>
    <w:rsid w:val="00A526DA"/>
    <w:rsid w:val="00A628C5"/>
    <w:rsid w:val="00A74D8A"/>
    <w:rsid w:val="00A769F3"/>
    <w:rsid w:val="00A942FE"/>
    <w:rsid w:val="00A95202"/>
    <w:rsid w:val="00AA2A58"/>
    <w:rsid w:val="00B46E07"/>
    <w:rsid w:val="00B63C26"/>
    <w:rsid w:val="00B742C8"/>
    <w:rsid w:val="00BC7EE1"/>
    <w:rsid w:val="00C363DB"/>
    <w:rsid w:val="00CE2C46"/>
    <w:rsid w:val="00D12E15"/>
    <w:rsid w:val="00D24AF3"/>
    <w:rsid w:val="00D32A35"/>
    <w:rsid w:val="00D3794B"/>
    <w:rsid w:val="00D607C8"/>
    <w:rsid w:val="00D70CFF"/>
    <w:rsid w:val="00DD1F39"/>
    <w:rsid w:val="00E047FA"/>
    <w:rsid w:val="00E16594"/>
    <w:rsid w:val="00E41A8C"/>
    <w:rsid w:val="00E65033"/>
    <w:rsid w:val="00E70FB0"/>
    <w:rsid w:val="00E70FBC"/>
    <w:rsid w:val="00E94E2F"/>
    <w:rsid w:val="00E97063"/>
    <w:rsid w:val="00EA6692"/>
    <w:rsid w:val="00EB26BB"/>
    <w:rsid w:val="00EC2556"/>
    <w:rsid w:val="00EC608C"/>
    <w:rsid w:val="00ED5AAC"/>
    <w:rsid w:val="00ED788B"/>
    <w:rsid w:val="00F0571B"/>
    <w:rsid w:val="00F101F6"/>
    <w:rsid w:val="00F505AE"/>
    <w:rsid w:val="00F7304F"/>
    <w:rsid w:val="00F80036"/>
    <w:rsid w:val="00F84B65"/>
    <w:rsid w:val="00F963B7"/>
    <w:rsid w:val="00FB16AA"/>
    <w:rsid w:val="00FB40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4CC7"/>
  <w15:docId w15:val="{6A9574C9-E596-5D4B-AC39-8FDE22F2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ED5AAC"/>
    <w:rPr>
      <w:b/>
      <w:bCs/>
    </w:rPr>
  </w:style>
  <w:style w:type="paragraph" w:styleId="NormalWeb">
    <w:name w:val="Normal (Web)"/>
    <w:basedOn w:val="Normal"/>
    <w:uiPriority w:val="99"/>
    <w:unhideWhenUsed/>
    <w:rsid w:val="000477E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477ED"/>
  </w:style>
  <w:style w:type="character" w:styleId="Vurgu">
    <w:name w:val="Emphasis"/>
    <w:basedOn w:val="VarsaylanParagrafYazTipi"/>
    <w:uiPriority w:val="20"/>
    <w:qFormat/>
    <w:rsid w:val="00D2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602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1167</Words>
  <Characters>8571</Characters>
  <Application>Microsoft Office Word</Application>
  <DocSecurity>0</DocSecurity>
  <Lines>168</Lines>
  <Paragraphs>45</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17</cp:revision>
  <cp:lastPrinted>2024-03-07T10:38:00Z</cp:lastPrinted>
  <dcterms:created xsi:type="dcterms:W3CDTF">2026-01-15T08:15:00Z</dcterms:created>
  <dcterms:modified xsi:type="dcterms:W3CDTF">2026-02-10T08:21:00Z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