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DD76BE" w:rsidP="005876B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3512" w:type="dxa"/>
          </w:tcPr>
          <w:p w:rsidR="0062090D" w:rsidRPr="0062090D" w:rsidRDefault="00DD76BE" w:rsidP="005876B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04.09.2025</w:t>
            </w:r>
          </w:p>
        </w:tc>
      </w:tr>
    </w:tbl>
    <w:p w:rsidR="0062090D" w:rsidRDefault="0062090D"/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Amaç̧ 5. Y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neti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ş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</w:t>
            </w:r>
          </w:p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A.5. Yönetiştim süreçlerinin paydaş̧ katılımıyla birlikte geliştirilmesi ve yaygınlaştırılması ile kalite yönetim sistemlerinin tüm birimlerde uygulanmasını sağlamak. </w:t>
            </w:r>
          </w:p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H.5.2. Üniversite içerisinde personel memnuniyetinin arttırılması. </w:t>
            </w:r>
          </w:p>
          <w:p w:rsidR="0062090D" w:rsidRPr="0062090D" w:rsidRDefault="00CD24AE" w:rsidP="00CD24AE">
            <w:pPr>
              <w:rPr>
                <w:rFonts w:asciiTheme="majorHAnsi" w:hAnsiTheme="majorHAnsi"/>
                <w:sz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>PG.5.2.1. Akademik personel memnuniyet oranı.</w:t>
            </w:r>
            <w:r w:rsidRPr="00FA6FF6">
              <w:rPr>
                <w:rFonts w:asciiTheme="majorHAnsi" w:hAnsiTheme="majorHAnsi"/>
                <w:sz w:val="20"/>
                <w:szCs w:val="20"/>
              </w:rPr>
              <w:br/>
              <w:t>PG.5.2.2. İdari personel memnuniyet oranı.</w:t>
            </w: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CD24AE" w:rsidRPr="00FA6FF6" w:rsidRDefault="00CD24AE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A.1. Liderlik ve Kalite</w:t>
            </w:r>
          </w:p>
          <w:p w:rsidR="009F3B77" w:rsidRDefault="009F3B77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A1.1. Yönetişim Modeli ve İdari Yapı</w:t>
            </w:r>
          </w:p>
          <w:p w:rsidR="00CD24AE" w:rsidRPr="00FA6FF6" w:rsidRDefault="00CD24AE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A.1.4. I</w:t>
            </w:r>
            <w:proofErr w:type="spellStart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̇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ç</w:t>
            </w:r>
            <w:proofErr w:type="spellEnd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 xml:space="preserve"> kalite güvencesi mekanizmaları </w:t>
            </w:r>
          </w:p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CD24AE" w:rsidRPr="00E87F33" w:rsidRDefault="00CD24AE" w:rsidP="00CD2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4. Nitelikli Eğitim</w:t>
            </w:r>
          </w:p>
          <w:p w:rsidR="00CD24AE" w:rsidRPr="00E87F33" w:rsidRDefault="00CD24AE" w:rsidP="00CD2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16. Barış, Adalet ve Güçlü Kurumlar</w:t>
            </w:r>
          </w:p>
          <w:p w:rsidR="0062090D" w:rsidRPr="0062090D" w:rsidRDefault="00CD24AE" w:rsidP="00CD24AE">
            <w:pPr>
              <w:rPr>
                <w:rFonts w:asciiTheme="majorHAnsi" w:hAnsiTheme="majorHAnsi"/>
                <w:sz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17. Amaçlar için Ortaklıklar</w:t>
            </w:r>
          </w:p>
        </w:tc>
      </w:tr>
    </w:tbl>
    <w:p w:rsidR="0062090D" w:rsidRDefault="0062090D"/>
    <w:tbl>
      <w:tblPr>
        <w:tblStyle w:val="TabloKlavuzu"/>
        <w:tblW w:w="10141" w:type="dxa"/>
        <w:jc w:val="center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1F5300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7D3C81">
        <w:trPr>
          <w:jc w:val="center"/>
        </w:trPr>
        <w:tc>
          <w:tcPr>
            <w:tcW w:w="265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EFQM </w:t>
            </w:r>
            <w:r w:rsidR="005876BE">
              <w:rPr>
                <w:rFonts w:asciiTheme="majorHAnsi" w:hAnsiTheme="majorHAnsi"/>
                <w:b/>
                <w:sz w:val="20"/>
                <w:szCs w:val="20"/>
              </w:rPr>
              <w:t xml:space="preserve">Mükemmellik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Modeli 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10.00-11.00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Pr="001F5300" w:rsidRDefault="00DD76BE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Modeli’nin Kalite Yönetim Süreci olarak Çağ Üniversitesi’ne entegre edilmesi</w:t>
      </w:r>
    </w:p>
    <w:p w:rsidR="001F5300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7B2C4C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1: </w:t>
      </w:r>
    </w:p>
    <w:p w:rsidR="00DD76BE" w:rsidRDefault="00DD76BE" w:rsidP="00DD76BE">
      <w:pPr>
        <w:tabs>
          <w:tab w:val="left" w:pos="1418"/>
        </w:tabs>
        <w:spacing w:before="240" w:line="276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Mükemmellik Modeli’nin Kalite Yönetim Süreci olarak Çağ Üniversitesi’ne entegre edilmesi</w:t>
      </w:r>
      <w:r>
        <w:rPr>
          <w:rFonts w:asciiTheme="majorHAnsi" w:hAnsiTheme="majorHAnsi" w:cs="Times New Roman"/>
          <w:sz w:val="20"/>
          <w:szCs w:val="20"/>
        </w:rPr>
        <w:t>ne</w:t>
      </w:r>
      <w:r w:rsidR="00E66320">
        <w:rPr>
          <w:rFonts w:asciiTheme="majorHAnsi" w:hAnsiTheme="majorHAnsi" w:cs="Times New Roman"/>
          <w:sz w:val="20"/>
          <w:szCs w:val="20"/>
        </w:rPr>
        <w:t>, KalDer Eğitmeni tarafından</w:t>
      </w:r>
      <w:r>
        <w:rPr>
          <w:rFonts w:asciiTheme="majorHAnsi" w:hAnsiTheme="majorHAnsi" w:cs="Times New Roman"/>
          <w:sz w:val="20"/>
          <w:szCs w:val="20"/>
        </w:rPr>
        <w:t xml:space="preserve"> 12 Eylül’de EFQM Farkındalık Eğitimi</w:t>
      </w:r>
      <w:r w:rsidR="00E66320">
        <w:rPr>
          <w:rFonts w:asciiTheme="majorHAnsi" w:hAnsiTheme="majorHAnsi" w:cs="Times New Roman"/>
          <w:sz w:val="20"/>
          <w:szCs w:val="20"/>
        </w:rPr>
        <w:t>nin</w:t>
      </w:r>
      <w:r>
        <w:rPr>
          <w:rFonts w:asciiTheme="majorHAnsi" w:hAnsiTheme="majorHAnsi" w:cs="Times New Roman"/>
          <w:sz w:val="20"/>
          <w:szCs w:val="20"/>
        </w:rPr>
        <w:t xml:space="preserve"> ve </w:t>
      </w:r>
      <w:r w:rsidR="00E66320">
        <w:rPr>
          <w:rFonts w:asciiTheme="majorHAnsi" w:hAnsiTheme="majorHAnsi" w:cs="Times New Roman"/>
          <w:sz w:val="20"/>
          <w:szCs w:val="20"/>
        </w:rPr>
        <w:t xml:space="preserve">EFQM Eğitmeni tarafından </w:t>
      </w:r>
      <w:r>
        <w:rPr>
          <w:rFonts w:asciiTheme="majorHAnsi" w:hAnsiTheme="majorHAnsi" w:cs="Times New Roman"/>
          <w:sz w:val="20"/>
          <w:szCs w:val="20"/>
        </w:rPr>
        <w:t>25-26 Eylül’de EFQM Model Eğitimi’nin</w:t>
      </w:r>
      <w:r w:rsidR="00E66320">
        <w:rPr>
          <w:rFonts w:asciiTheme="majorHAnsi" w:hAnsiTheme="majorHAnsi" w:cs="Times New Roman"/>
          <w:sz w:val="20"/>
          <w:szCs w:val="20"/>
        </w:rPr>
        <w:t xml:space="preserve"> verilmesine</w:t>
      </w:r>
      <w:r>
        <w:rPr>
          <w:rFonts w:asciiTheme="majorHAnsi" w:hAnsiTheme="majorHAnsi" w:cs="Times New Roman"/>
          <w:sz w:val="20"/>
          <w:szCs w:val="20"/>
        </w:rPr>
        <w:t xml:space="preserve"> karar verilmiştir. </w:t>
      </w:r>
    </w:p>
    <w:p w:rsidR="00263E89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>Kararın Gerekçesi</w:t>
      </w:r>
      <w:r w:rsidR="00263E89">
        <w:rPr>
          <w:rFonts w:asciiTheme="majorHAnsi" w:hAnsiTheme="majorHAnsi" w:cs="Times New Roman"/>
          <w:sz w:val="20"/>
          <w:szCs w:val="20"/>
        </w:rPr>
        <w:t>:</w:t>
      </w:r>
    </w:p>
    <w:p w:rsidR="00263E89" w:rsidRPr="00263E89" w:rsidRDefault="00263E89" w:rsidP="00D34B91">
      <w:pPr>
        <w:tabs>
          <w:tab w:val="left" w:pos="1418"/>
        </w:tabs>
        <w:spacing w:before="240" w:line="276" w:lineRule="auto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263E89">
        <w:rPr>
          <w:rFonts w:asciiTheme="majorHAnsi" w:hAnsiTheme="majorHAnsi"/>
          <w:color w:val="000000"/>
          <w:sz w:val="20"/>
          <w:szCs w:val="20"/>
        </w:rPr>
        <w:t>EFQM Mükemmellik Modeli, kurumların sürekli iyileştirme ve kalite yönetiminde uluslararası bir standart çerçeve kullanmasını sağlar.</w:t>
      </w:r>
      <w:r w:rsidR="00F73F90">
        <w:rPr>
          <w:rFonts w:asciiTheme="majorHAnsi" w:hAnsiTheme="majorHAnsi"/>
          <w:color w:val="000000"/>
          <w:sz w:val="20"/>
          <w:szCs w:val="20"/>
        </w:rPr>
        <w:t xml:space="preserve"> Kalite Yönetimi Koordinatörlüğü Üyeleri’nin görüşleri bağlamında </w:t>
      </w:r>
      <w:r w:rsidRPr="00263E89">
        <w:rPr>
          <w:rFonts w:asciiTheme="majorHAnsi" w:hAnsiTheme="majorHAnsi"/>
          <w:color w:val="000000"/>
          <w:sz w:val="20"/>
          <w:szCs w:val="20"/>
        </w:rPr>
        <w:t>Çağ Üniversitesi’nin bu modeli benimseme</w:t>
      </w:r>
      <w:r w:rsidR="00F73F90">
        <w:rPr>
          <w:rFonts w:asciiTheme="majorHAnsi" w:hAnsiTheme="majorHAnsi"/>
          <w:color w:val="000000"/>
          <w:sz w:val="20"/>
          <w:szCs w:val="20"/>
        </w:rPr>
        <w:t>si</w:t>
      </w:r>
      <w:r w:rsidRPr="00263E89">
        <w:rPr>
          <w:rFonts w:asciiTheme="majorHAnsi" w:hAnsiTheme="majorHAnsi"/>
          <w:color w:val="000000"/>
          <w:sz w:val="20"/>
          <w:szCs w:val="20"/>
        </w:rPr>
        <w:t>, eğitimde kaliteyi artırma</w:t>
      </w:r>
      <w:r w:rsidR="00F73F90">
        <w:rPr>
          <w:rFonts w:asciiTheme="majorHAnsi" w:hAnsiTheme="majorHAnsi"/>
          <w:color w:val="000000"/>
          <w:sz w:val="20"/>
          <w:szCs w:val="20"/>
        </w:rPr>
        <w:t>sını</w:t>
      </w:r>
      <w:r w:rsidRPr="00263E89">
        <w:rPr>
          <w:rFonts w:asciiTheme="majorHAnsi" w:hAnsiTheme="majorHAnsi"/>
          <w:color w:val="000000"/>
          <w:sz w:val="20"/>
          <w:szCs w:val="20"/>
        </w:rPr>
        <w:t xml:space="preserve"> ve paydaşlarına daha yüksek standartlarda hizmet sunma</w:t>
      </w:r>
      <w:r w:rsidR="00F73F90">
        <w:rPr>
          <w:rFonts w:asciiTheme="majorHAnsi" w:hAnsiTheme="majorHAnsi"/>
          <w:color w:val="000000"/>
          <w:sz w:val="20"/>
          <w:szCs w:val="20"/>
        </w:rPr>
        <w:t>sını sağlayacaktır</w:t>
      </w:r>
      <w:r w:rsidRPr="00263E89">
        <w:rPr>
          <w:rFonts w:asciiTheme="majorHAnsi" w:hAnsiTheme="majorHAnsi"/>
          <w:color w:val="000000"/>
          <w:sz w:val="20"/>
          <w:szCs w:val="20"/>
        </w:rPr>
        <w:t>.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263E89">
        <w:rPr>
          <w:rFonts w:asciiTheme="majorHAnsi" w:hAnsiTheme="majorHAnsi"/>
          <w:color w:val="000000"/>
          <w:sz w:val="20"/>
          <w:szCs w:val="20"/>
        </w:rPr>
        <w:t>Üniversitenin kalite güvence sistemini ulusal ve uluslararası standartlara uyumlu hale getir</w:t>
      </w:r>
      <w:r w:rsidRPr="00263E89">
        <w:rPr>
          <w:rFonts w:asciiTheme="majorHAnsi" w:hAnsiTheme="majorHAnsi"/>
          <w:color w:val="000000"/>
          <w:sz w:val="20"/>
          <w:szCs w:val="20"/>
        </w:rPr>
        <w:t>erek</w:t>
      </w:r>
      <w:r w:rsidRPr="00263E89">
        <w:rPr>
          <w:rFonts w:asciiTheme="majorHAnsi" w:hAnsiTheme="majorHAnsi"/>
          <w:color w:val="000000"/>
          <w:sz w:val="20"/>
          <w:szCs w:val="20"/>
        </w:rPr>
        <w:t>, akreditasyon süreçlerinde avantaj sağla</w:t>
      </w:r>
      <w:r w:rsidRPr="00263E89">
        <w:rPr>
          <w:rFonts w:asciiTheme="majorHAnsi" w:hAnsiTheme="majorHAnsi"/>
          <w:color w:val="000000"/>
          <w:sz w:val="20"/>
          <w:szCs w:val="20"/>
        </w:rPr>
        <w:t>yacaktır.</w:t>
      </w:r>
    </w:p>
    <w:p w:rsidR="00D34B91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lastRenderedPageBreak/>
        <w:t xml:space="preserve">Kararın İçeriği: </w:t>
      </w:r>
    </w:p>
    <w:p w:rsidR="00D34B91" w:rsidRPr="00D34B91" w:rsidRDefault="00D34B91" w:rsidP="00D34B91">
      <w:pPr>
        <w:tabs>
          <w:tab w:val="left" w:pos="1418"/>
        </w:tabs>
        <w:spacing w:before="240"/>
        <w:ind w:left="720"/>
        <w:jc w:val="both"/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</w:pPr>
      <w:r w:rsidRPr="00D34B91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12 Eylül Farkındalık Eğitimi</w:t>
      </w:r>
      <w:r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:</w:t>
      </w:r>
    </w:p>
    <w:p w:rsidR="007B2C4C" w:rsidRPr="00D34B91" w:rsidRDefault="00D34B91" w:rsidP="00D34B91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D34B91">
        <w:rPr>
          <w:rFonts w:asciiTheme="majorHAnsi" w:hAnsiTheme="majorHAnsi"/>
          <w:color w:val="000000"/>
          <w:sz w:val="20"/>
          <w:szCs w:val="20"/>
        </w:rPr>
        <w:t>KalDer tarafından verilecek bu eğitim, üniversite personeline EFQM’in temel prensiplerini, kalite yönetimindeki önemini ve modelin genel yapısını tanıtmayı amaçlar.</w:t>
      </w:r>
    </w:p>
    <w:p w:rsidR="007B2C4C" w:rsidRDefault="00D34B91" w:rsidP="00D34B91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D34B91">
        <w:rPr>
          <w:rFonts w:asciiTheme="majorHAnsi" w:hAnsiTheme="majorHAnsi" w:cs="Times New Roman"/>
          <w:bCs/>
          <w:sz w:val="20"/>
          <w:szCs w:val="20"/>
        </w:rPr>
        <w:t>25- 26 Eylül EFQM Model Eğitimi</w:t>
      </w:r>
      <w:r>
        <w:rPr>
          <w:rFonts w:asciiTheme="majorHAnsi" w:hAnsiTheme="majorHAnsi" w:cs="Times New Roman"/>
          <w:bCs/>
          <w:sz w:val="20"/>
          <w:szCs w:val="20"/>
        </w:rPr>
        <w:t>:</w:t>
      </w:r>
    </w:p>
    <w:p w:rsidR="00D34B91" w:rsidRPr="00D34B91" w:rsidRDefault="00D34B91" w:rsidP="00D34B91">
      <w:pPr>
        <w:tabs>
          <w:tab w:val="left" w:pos="1418"/>
        </w:tabs>
        <w:spacing w:before="240"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D34B91">
        <w:rPr>
          <w:rFonts w:asciiTheme="majorHAnsi" w:hAnsiTheme="majorHAnsi"/>
          <w:color w:val="000000"/>
          <w:sz w:val="20"/>
          <w:szCs w:val="20"/>
        </w:rPr>
        <w:t>EFQM eğitmeni tarafından daha ileri düzeyde yapılacak bu eğitim, modelin kriterlerini (liderlik, strateji, çalışanlar, süreçler, sonuçlar) detaylı şekilde aktararak üniversitenin kendi kalite yönetim sürecine nasıl entegre edilebileceğini öğretmeyi hedefler.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10220" w:type="dxa"/>
        <w:jc w:val="center"/>
        <w:tblLook w:val="04A0" w:firstRow="1" w:lastRow="0" w:firstColumn="1" w:lastColumn="0" w:noHBand="0" w:noVBand="1"/>
      </w:tblPr>
      <w:tblGrid>
        <w:gridCol w:w="1701"/>
        <w:gridCol w:w="1697"/>
        <w:gridCol w:w="1695"/>
        <w:gridCol w:w="1734"/>
        <w:gridCol w:w="1697"/>
        <w:gridCol w:w="1696"/>
      </w:tblGrid>
      <w:tr w:rsidR="00BB36C0" w:rsidRPr="00CD3402" w:rsidTr="0074435F">
        <w:trPr>
          <w:trHeight w:val="651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BB36C0" w:rsidRPr="00CD3402" w:rsidTr="0074435F">
        <w:trPr>
          <w:trHeight w:val="935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Mahir FİSUNOĞLU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Kal. Sor. </w:t>
            </w:r>
            <w:proofErr w:type="spellStart"/>
            <w:r w:rsidRPr="00CD3402">
              <w:rPr>
                <w:rFonts w:asciiTheme="majorHAnsi" w:hAnsiTheme="majorHAnsi"/>
                <w:sz w:val="20"/>
                <w:szCs w:val="20"/>
              </w:rPr>
              <w:t>Rek</w:t>
            </w:r>
            <w:proofErr w:type="spellEnd"/>
            <w:r w:rsidRPr="00CD3402">
              <w:rPr>
                <w:rFonts w:asciiTheme="majorHAnsi" w:hAnsiTheme="majorHAnsi"/>
                <w:sz w:val="20"/>
                <w:szCs w:val="20"/>
              </w:rPr>
              <w:t>. Yrd.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Oğuzhan ÇAVUŞOĞLU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992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Şenol KANDEMİR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Koordinatörü/ Gnl. Sek.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9.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Tuğçe KANDİLCİ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977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3.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Duygu GÜR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Koord. Yrd.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Pelin BATMAN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990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Gürcan DEMİROGLARI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Koordinatörü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13.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Yonca BİR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962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5.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Yunus Anıl AY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Seyfettin ÖZDEMİREL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1005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6.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Arş. Gör. Alper YILDIZ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üye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74435F">
        <w:trPr>
          <w:trHeight w:val="963"/>
          <w:jc w:val="center"/>
        </w:trPr>
        <w:tc>
          <w:tcPr>
            <w:tcW w:w="170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7.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Süreyya ÖZEKENCİ</w:t>
            </w: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9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BB36C0" w:rsidRDefault="00BB36C0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lastRenderedPageBreak/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58C" w:rsidRDefault="002C158C">
      <w:r>
        <w:separator/>
      </w:r>
    </w:p>
  </w:endnote>
  <w:endnote w:type="continuationSeparator" w:id="0">
    <w:p w:rsidR="002C158C" w:rsidRDefault="002C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58C" w:rsidRDefault="002C158C">
      <w:r>
        <w:separator/>
      </w:r>
    </w:p>
  </w:footnote>
  <w:footnote w:type="continuationSeparator" w:id="0">
    <w:p w:rsidR="002C158C" w:rsidRDefault="002C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84581">
    <w:abstractNumId w:val="3"/>
  </w:num>
  <w:num w:numId="2" w16cid:durableId="52656068">
    <w:abstractNumId w:val="5"/>
  </w:num>
  <w:num w:numId="3" w16cid:durableId="386610021">
    <w:abstractNumId w:val="0"/>
  </w:num>
  <w:num w:numId="4" w16cid:durableId="1822038250">
    <w:abstractNumId w:val="4"/>
  </w:num>
  <w:num w:numId="5" w16cid:durableId="324207690">
    <w:abstractNumId w:val="1"/>
  </w:num>
  <w:num w:numId="6" w16cid:durableId="1725331135">
    <w:abstractNumId w:val="2"/>
  </w:num>
  <w:num w:numId="7" w16cid:durableId="1573734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92724"/>
    <w:rsid w:val="000A3AA0"/>
    <w:rsid w:val="000A6771"/>
    <w:rsid w:val="000F1975"/>
    <w:rsid w:val="00126EDA"/>
    <w:rsid w:val="001B318F"/>
    <w:rsid w:val="001E4861"/>
    <w:rsid w:val="001F5300"/>
    <w:rsid w:val="00263E89"/>
    <w:rsid w:val="00275474"/>
    <w:rsid w:val="002A518F"/>
    <w:rsid w:val="002C158C"/>
    <w:rsid w:val="002C7DC2"/>
    <w:rsid w:val="00345C8A"/>
    <w:rsid w:val="003A17B9"/>
    <w:rsid w:val="003F1F4D"/>
    <w:rsid w:val="00415F48"/>
    <w:rsid w:val="00436C99"/>
    <w:rsid w:val="00462B6E"/>
    <w:rsid w:val="004D2C91"/>
    <w:rsid w:val="00504469"/>
    <w:rsid w:val="005876BE"/>
    <w:rsid w:val="00591BA9"/>
    <w:rsid w:val="005A0610"/>
    <w:rsid w:val="0062090D"/>
    <w:rsid w:val="00624C8B"/>
    <w:rsid w:val="0064649F"/>
    <w:rsid w:val="00652590"/>
    <w:rsid w:val="006C3210"/>
    <w:rsid w:val="00741429"/>
    <w:rsid w:val="00774ED1"/>
    <w:rsid w:val="00784D89"/>
    <w:rsid w:val="007B2C4C"/>
    <w:rsid w:val="007D3C81"/>
    <w:rsid w:val="00845169"/>
    <w:rsid w:val="00851E54"/>
    <w:rsid w:val="009255C5"/>
    <w:rsid w:val="009E4FF3"/>
    <w:rsid w:val="009F3B77"/>
    <w:rsid w:val="00A07500"/>
    <w:rsid w:val="00A14A09"/>
    <w:rsid w:val="00A24729"/>
    <w:rsid w:val="00A526DA"/>
    <w:rsid w:val="00A74D8A"/>
    <w:rsid w:val="00B742C8"/>
    <w:rsid w:val="00B755A2"/>
    <w:rsid w:val="00BB36C0"/>
    <w:rsid w:val="00BC7EE1"/>
    <w:rsid w:val="00C363DB"/>
    <w:rsid w:val="00CD24AE"/>
    <w:rsid w:val="00D32A35"/>
    <w:rsid w:val="00D34B91"/>
    <w:rsid w:val="00D3794B"/>
    <w:rsid w:val="00DD76BE"/>
    <w:rsid w:val="00E66320"/>
    <w:rsid w:val="00E70FBC"/>
    <w:rsid w:val="00EC2556"/>
    <w:rsid w:val="00ED788B"/>
    <w:rsid w:val="00F0571B"/>
    <w:rsid w:val="00F505AE"/>
    <w:rsid w:val="00F73F90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5926"/>
  <w15:docId w15:val="{6A9574C9-E596-5D4B-AC39-8FDE22F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D34B91"/>
    <w:rPr>
      <w:b/>
      <w:bCs/>
    </w:rPr>
  </w:style>
  <w:style w:type="paragraph" w:styleId="NormalWeb">
    <w:name w:val="Normal (Web)"/>
    <w:basedOn w:val="Normal"/>
    <w:uiPriority w:val="99"/>
    <w:unhideWhenUsed/>
    <w:rsid w:val="00CD24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21</cp:revision>
  <cp:lastPrinted>2024-03-07T10:38:00Z</cp:lastPrinted>
  <dcterms:created xsi:type="dcterms:W3CDTF">2025-09-29T05:55:00Z</dcterms:created>
  <dcterms:modified xsi:type="dcterms:W3CDTF">2025-09-29T06:32:00Z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