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0F6FF" w14:textId="77777777" w:rsidR="002B6B20" w:rsidRPr="002B6B20" w:rsidRDefault="002B6B20" w:rsidP="002B6B2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tr-TR" w:eastAsia="tr-TR"/>
          <w14:ligatures w14:val="none"/>
        </w:rPr>
      </w:pPr>
      <w:r w:rsidRPr="002B6B2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tr-TR" w:eastAsia="tr-TR"/>
          <w14:ligatures w14:val="none"/>
        </w:rPr>
        <w:t>Main Functional Theories Compared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7"/>
        <w:gridCol w:w="2485"/>
        <w:gridCol w:w="2437"/>
        <w:gridCol w:w="2803"/>
        <w:gridCol w:w="2955"/>
        <w:gridCol w:w="2440"/>
      </w:tblGrid>
      <w:tr w:rsidR="002B6B20" w:rsidRPr="002B6B20" w14:paraId="7AE02B59" w14:textId="77777777" w:rsidTr="002B6B20">
        <w:tc>
          <w:tcPr>
            <w:tcW w:w="0" w:type="auto"/>
            <w:hideMark/>
          </w:tcPr>
          <w:p w14:paraId="07206CE8" w14:textId="77777777" w:rsidR="002B6B20" w:rsidRPr="002B6B20" w:rsidRDefault="002B6B20" w:rsidP="002B6B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tr-TR" w:eastAsia="tr-TR"/>
                <w14:ligatures w14:val="none"/>
              </w:rPr>
              <w:t>Theory / Scholar</w:t>
            </w:r>
          </w:p>
        </w:tc>
        <w:tc>
          <w:tcPr>
            <w:tcW w:w="0" w:type="auto"/>
            <w:hideMark/>
          </w:tcPr>
          <w:p w14:paraId="01FEB2B6" w14:textId="77777777" w:rsidR="002B6B20" w:rsidRPr="002B6B20" w:rsidRDefault="002B6B20" w:rsidP="002B6B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tr-TR" w:eastAsia="tr-TR"/>
                <w14:ligatures w14:val="none"/>
              </w:rPr>
              <w:t>Main Focus</w:t>
            </w:r>
          </w:p>
        </w:tc>
        <w:tc>
          <w:tcPr>
            <w:tcW w:w="0" w:type="auto"/>
            <w:hideMark/>
          </w:tcPr>
          <w:p w14:paraId="231AACF6" w14:textId="77777777" w:rsidR="002B6B20" w:rsidRPr="002B6B20" w:rsidRDefault="002B6B20" w:rsidP="002B6B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tr-TR" w:eastAsia="tr-TR"/>
                <w14:ligatures w14:val="none"/>
              </w:rPr>
              <w:t>Core Concepts</w:t>
            </w:r>
          </w:p>
        </w:tc>
        <w:tc>
          <w:tcPr>
            <w:tcW w:w="0" w:type="auto"/>
            <w:hideMark/>
          </w:tcPr>
          <w:p w14:paraId="516A1FBA" w14:textId="77777777" w:rsidR="002B6B20" w:rsidRPr="002B6B20" w:rsidRDefault="002B6B20" w:rsidP="002B6B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tr-TR" w:eastAsia="tr-TR"/>
                <w14:ligatures w14:val="none"/>
              </w:rPr>
              <w:t>How ST–TT Relation Is Seen</w:t>
            </w:r>
          </w:p>
        </w:tc>
        <w:tc>
          <w:tcPr>
            <w:tcW w:w="0" w:type="auto"/>
            <w:hideMark/>
          </w:tcPr>
          <w:p w14:paraId="6F50028D" w14:textId="77777777" w:rsidR="002B6B20" w:rsidRPr="002B6B20" w:rsidRDefault="002B6B20" w:rsidP="002B6B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tr-TR" w:eastAsia="tr-TR"/>
                <w14:ligatures w14:val="none"/>
              </w:rPr>
              <w:t>Role of the Translator</w:t>
            </w:r>
          </w:p>
        </w:tc>
        <w:tc>
          <w:tcPr>
            <w:tcW w:w="0" w:type="auto"/>
            <w:hideMark/>
          </w:tcPr>
          <w:p w14:paraId="6B7ECF36" w14:textId="77777777" w:rsidR="002B6B20" w:rsidRPr="002B6B20" w:rsidRDefault="002B6B20" w:rsidP="002B6B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tr-TR" w:eastAsia="tr-TR"/>
                <w14:ligatures w14:val="none"/>
              </w:rPr>
              <w:t>Typical Texts / Applications</w:t>
            </w:r>
          </w:p>
        </w:tc>
      </w:tr>
      <w:tr w:rsidR="002B6B20" w:rsidRPr="002B6B20" w14:paraId="3C76D7E2" w14:textId="77777777" w:rsidTr="002B6B20">
        <w:tc>
          <w:tcPr>
            <w:tcW w:w="0" w:type="auto"/>
            <w:hideMark/>
          </w:tcPr>
          <w:p w14:paraId="04EBE25B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tr-TR" w:eastAsia="tr-TR"/>
                <w14:ligatures w14:val="none"/>
              </w:rPr>
              <w:t>Reiss – Text Types</w:t>
            </w:r>
          </w:p>
        </w:tc>
        <w:tc>
          <w:tcPr>
            <w:tcW w:w="0" w:type="auto"/>
            <w:hideMark/>
          </w:tcPr>
          <w:p w14:paraId="68577B9F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  <w:t xml:space="preserve">The </w:t>
            </w:r>
            <w:r w:rsidRPr="002B6B2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tr-TR" w:eastAsia="tr-TR"/>
                <w14:ligatures w14:val="none"/>
              </w:rPr>
              <w:t>function</w:t>
            </w:r>
            <w:r w:rsidRPr="002B6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  <w:t xml:space="preserve"> and </w:t>
            </w:r>
            <w:r w:rsidRPr="002B6B2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tr-TR" w:eastAsia="tr-TR"/>
                <w14:ligatures w14:val="none"/>
              </w:rPr>
              <w:t>type</w:t>
            </w:r>
            <w:r w:rsidRPr="002B6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  <w:t xml:space="preserve"> of the text</w:t>
            </w:r>
          </w:p>
        </w:tc>
        <w:tc>
          <w:tcPr>
            <w:tcW w:w="0" w:type="auto"/>
            <w:hideMark/>
          </w:tcPr>
          <w:p w14:paraId="7F2E764C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  <w:t>Informative, Expressive, Operative, Audio-medial; translation method</w:t>
            </w:r>
          </w:p>
        </w:tc>
        <w:tc>
          <w:tcPr>
            <w:tcW w:w="0" w:type="auto"/>
            <w:hideMark/>
          </w:tcPr>
          <w:p w14:paraId="347D4542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  <w:t xml:space="preserve">TT should preserve the </w:t>
            </w:r>
            <w:r w:rsidRPr="002B6B2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tr-TR" w:eastAsia="tr-TR"/>
                <w14:ligatures w14:val="none"/>
              </w:rPr>
              <w:t>function</w:t>
            </w:r>
            <w:r w:rsidRPr="002B6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  <w:t xml:space="preserve"> of the ST; each text type calls for a different method</w:t>
            </w:r>
          </w:p>
        </w:tc>
        <w:tc>
          <w:tcPr>
            <w:tcW w:w="0" w:type="auto"/>
            <w:hideMark/>
          </w:tcPr>
          <w:p w14:paraId="44D6D45C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  <w:t>Specialist who identifies text type and chooses an appropriate strategy</w:t>
            </w:r>
          </w:p>
        </w:tc>
        <w:tc>
          <w:tcPr>
            <w:tcW w:w="0" w:type="auto"/>
            <w:hideMark/>
          </w:tcPr>
          <w:p w14:paraId="009DB008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  <w:t>User manuals (informative), novels/poems (expressive), adverts (operative)</w:t>
            </w:r>
          </w:p>
        </w:tc>
      </w:tr>
      <w:tr w:rsidR="002B6B20" w:rsidRPr="002B6B20" w14:paraId="012F8099" w14:textId="77777777" w:rsidTr="002B6B20">
        <w:tc>
          <w:tcPr>
            <w:tcW w:w="0" w:type="auto"/>
            <w:hideMark/>
          </w:tcPr>
          <w:p w14:paraId="3644BCB0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tr-TR" w:eastAsia="tr-TR"/>
                <w14:ligatures w14:val="none"/>
              </w:rPr>
              <w:t>Snell-Hornby – Integrated Approach</w:t>
            </w:r>
          </w:p>
        </w:tc>
        <w:tc>
          <w:tcPr>
            <w:tcW w:w="0" w:type="auto"/>
            <w:hideMark/>
          </w:tcPr>
          <w:p w14:paraId="06078B1A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  <w:t xml:space="preserve">Viewing the text as a </w:t>
            </w:r>
            <w:r w:rsidRPr="002B6B2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tr-TR" w:eastAsia="tr-TR"/>
                <w14:ligatures w14:val="none"/>
              </w:rPr>
              <w:t>whole profile</w:t>
            </w:r>
            <w:r w:rsidRPr="002B6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  <w:t xml:space="preserve"> (genre + function + culture)</w:t>
            </w:r>
          </w:p>
        </w:tc>
        <w:tc>
          <w:tcPr>
            <w:tcW w:w="0" w:type="auto"/>
            <w:hideMark/>
          </w:tcPr>
          <w:p w14:paraId="6A700BC8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  <w:t>Prototype, integrated approach</w:t>
            </w:r>
          </w:p>
        </w:tc>
        <w:tc>
          <w:tcPr>
            <w:tcW w:w="0" w:type="auto"/>
            <w:hideMark/>
          </w:tcPr>
          <w:p w14:paraId="6780DF5B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  <w:t>ST and TT are not forced into strict boxes; relationship is more flexible and holistic</w:t>
            </w:r>
          </w:p>
        </w:tc>
        <w:tc>
          <w:tcPr>
            <w:tcW w:w="0" w:type="auto"/>
            <w:hideMark/>
          </w:tcPr>
          <w:p w14:paraId="56058EE2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  <w:t xml:space="preserve">Professional who analyses </w:t>
            </w:r>
            <w:r w:rsidRPr="002B6B2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tr-TR" w:eastAsia="tr-TR"/>
                <w14:ligatures w14:val="none"/>
              </w:rPr>
              <w:t>genre, culture, lexis, register, function</w:t>
            </w:r>
            <w:r w:rsidRPr="002B6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  <w:t xml:space="preserve"> together</w:t>
            </w:r>
          </w:p>
        </w:tc>
        <w:tc>
          <w:tcPr>
            <w:tcW w:w="0" w:type="auto"/>
            <w:hideMark/>
          </w:tcPr>
          <w:p w14:paraId="2E47525D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  <w:t>Hybrid texts: tourism brochures, company reports, web texts</w:t>
            </w:r>
          </w:p>
        </w:tc>
      </w:tr>
      <w:tr w:rsidR="002B6B20" w:rsidRPr="002B6B20" w14:paraId="4FA5F1F9" w14:textId="77777777" w:rsidTr="002B6B20">
        <w:tc>
          <w:tcPr>
            <w:tcW w:w="0" w:type="auto"/>
            <w:hideMark/>
          </w:tcPr>
          <w:p w14:paraId="166513A6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tr-TR" w:eastAsia="tr-TR"/>
                <w14:ligatures w14:val="none"/>
              </w:rPr>
              <w:t>Holz-Mänttäri – Translational Action</w:t>
            </w:r>
          </w:p>
        </w:tc>
        <w:tc>
          <w:tcPr>
            <w:tcW w:w="0" w:type="auto"/>
            <w:hideMark/>
          </w:tcPr>
          <w:p w14:paraId="3EAF8546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  <w:t xml:space="preserve">Translation as a </w:t>
            </w:r>
            <w:r w:rsidRPr="002B6B2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tr-TR" w:eastAsia="tr-TR"/>
                <w14:ligatures w14:val="none"/>
              </w:rPr>
              <w:t>professional, purposeful action</w:t>
            </w:r>
            <w:r w:rsidRPr="002B6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  <w:t xml:space="preserve"> in a communicative situation</w:t>
            </w:r>
          </w:p>
        </w:tc>
        <w:tc>
          <w:tcPr>
            <w:tcW w:w="0" w:type="auto"/>
            <w:hideMark/>
          </w:tcPr>
          <w:p w14:paraId="6E9895B9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  <w:t>Translational action, initiator, commissioner, ST producer, TT user, TT receiver</w:t>
            </w:r>
          </w:p>
        </w:tc>
        <w:tc>
          <w:tcPr>
            <w:tcW w:w="0" w:type="auto"/>
            <w:hideMark/>
          </w:tcPr>
          <w:p w14:paraId="6EB4C0B5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  <w:t xml:space="preserve">Focus less on ST–TT equivalence and more on the </w:t>
            </w:r>
            <w:r w:rsidRPr="002B6B2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tr-TR" w:eastAsia="tr-TR"/>
                <w14:ligatures w14:val="none"/>
              </w:rPr>
              <w:t>entire communication chain</w:t>
            </w:r>
            <w:r w:rsidRPr="002B6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  <w:t xml:space="preserve"> and its purpose</w:t>
            </w:r>
          </w:p>
        </w:tc>
        <w:tc>
          <w:tcPr>
            <w:tcW w:w="0" w:type="auto"/>
            <w:hideMark/>
          </w:tcPr>
          <w:p w14:paraId="2751CC2D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  <w:t xml:space="preserve">Not a “language machine” but a </w:t>
            </w:r>
            <w:r w:rsidRPr="002B6B2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tr-TR" w:eastAsia="tr-TR"/>
                <w14:ligatures w14:val="none"/>
              </w:rPr>
              <w:t>communication designer</w:t>
            </w:r>
            <w:r w:rsidRPr="002B6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  <w:t xml:space="preserve"> who balances needs of all participants</w:t>
            </w:r>
          </w:p>
        </w:tc>
        <w:tc>
          <w:tcPr>
            <w:tcW w:w="0" w:type="auto"/>
            <w:hideMark/>
          </w:tcPr>
          <w:p w14:paraId="0812ADE5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  <w:t>Institutional texts, brochures, campaign materials, business and technical translations</w:t>
            </w:r>
          </w:p>
        </w:tc>
      </w:tr>
      <w:tr w:rsidR="002B6B20" w:rsidRPr="002B6B20" w14:paraId="400E0F77" w14:textId="77777777" w:rsidTr="002B6B20">
        <w:tc>
          <w:tcPr>
            <w:tcW w:w="0" w:type="auto"/>
            <w:hideMark/>
          </w:tcPr>
          <w:p w14:paraId="2C40B7BF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tr-TR" w:eastAsia="tr-TR"/>
                <w14:ligatures w14:val="none"/>
              </w:rPr>
              <w:t>Vermeer – Skopos Theory</w:t>
            </w:r>
          </w:p>
        </w:tc>
        <w:tc>
          <w:tcPr>
            <w:tcW w:w="0" w:type="auto"/>
            <w:hideMark/>
          </w:tcPr>
          <w:p w14:paraId="49D5EF81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  <w:t xml:space="preserve">The </w:t>
            </w:r>
            <w:r w:rsidRPr="002B6B2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tr-TR" w:eastAsia="tr-TR"/>
                <w14:ligatures w14:val="none"/>
              </w:rPr>
              <w:t>purpose (skopos)</w:t>
            </w:r>
            <w:r w:rsidRPr="002B6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  <w:t xml:space="preserve"> of the translation</w:t>
            </w:r>
          </w:p>
        </w:tc>
        <w:tc>
          <w:tcPr>
            <w:tcW w:w="0" w:type="auto"/>
            <w:hideMark/>
          </w:tcPr>
          <w:p w14:paraId="2F520EE4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  <w:t>Skopos, functional adequacy, coherence rule, fidelity rule</w:t>
            </w:r>
          </w:p>
        </w:tc>
        <w:tc>
          <w:tcPr>
            <w:tcW w:w="0" w:type="auto"/>
            <w:hideMark/>
          </w:tcPr>
          <w:p w14:paraId="7A12114C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  <w:t xml:space="preserve">TT does not need to resemble the ST closely; the main criterion is </w:t>
            </w:r>
            <w:r w:rsidRPr="002B6B2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tr-TR" w:eastAsia="tr-TR"/>
                <w14:ligatures w14:val="none"/>
              </w:rPr>
              <w:t>fitness for purpose</w:t>
            </w:r>
          </w:p>
        </w:tc>
        <w:tc>
          <w:tcPr>
            <w:tcW w:w="0" w:type="auto"/>
            <w:hideMark/>
          </w:tcPr>
          <w:p w14:paraId="222E93F6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  <w:t>Decision-maker who first defines the purpose, then selects strategies accordingly</w:t>
            </w:r>
          </w:p>
        </w:tc>
        <w:tc>
          <w:tcPr>
            <w:tcW w:w="0" w:type="auto"/>
            <w:hideMark/>
          </w:tcPr>
          <w:p w14:paraId="6FEF07E0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  <w:t>Advertising, marketing, tourism texts, localisation, websites, software</w:t>
            </w:r>
          </w:p>
        </w:tc>
      </w:tr>
      <w:tr w:rsidR="002B6B20" w:rsidRPr="002B6B20" w14:paraId="3174AABE" w14:textId="77777777" w:rsidTr="002B6B20">
        <w:tc>
          <w:tcPr>
            <w:tcW w:w="0" w:type="auto"/>
            <w:hideMark/>
          </w:tcPr>
          <w:p w14:paraId="76742211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tr-TR" w:eastAsia="tr-TR"/>
                <w14:ligatures w14:val="none"/>
              </w:rPr>
              <w:t>Nord – Translation-Oriented Text Analysis</w:t>
            </w:r>
          </w:p>
        </w:tc>
        <w:tc>
          <w:tcPr>
            <w:tcW w:w="0" w:type="auto"/>
            <w:hideMark/>
          </w:tcPr>
          <w:p w14:paraId="604BDE36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  <w:t xml:space="preserve">Systematic </w:t>
            </w:r>
            <w:r w:rsidRPr="002B6B2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tr-TR" w:eastAsia="tr-TR"/>
                <w14:ligatures w14:val="none"/>
              </w:rPr>
              <w:t>text analysis</w:t>
            </w:r>
            <w:r w:rsidRPr="002B6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  <w:t xml:space="preserve"> before translating</w:t>
            </w:r>
          </w:p>
        </w:tc>
        <w:tc>
          <w:tcPr>
            <w:tcW w:w="0" w:type="auto"/>
            <w:hideMark/>
          </w:tcPr>
          <w:p w14:paraId="59989728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  <w:t>Extratextual factors, intratextual factors, loyalty</w:t>
            </w:r>
          </w:p>
        </w:tc>
        <w:tc>
          <w:tcPr>
            <w:tcW w:w="0" w:type="auto"/>
            <w:hideMark/>
          </w:tcPr>
          <w:p w14:paraId="4DEBB5B1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  <w:t xml:space="preserve">ST–TT relation is framed through </w:t>
            </w:r>
            <w:r w:rsidRPr="002B6B2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tr-TR" w:eastAsia="tr-TR"/>
                <w14:ligatures w14:val="none"/>
              </w:rPr>
              <w:t>loyalty</w:t>
            </w:r>
            <w:r w:rsidRPr="002B6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  <w:t xml:space="preserve"> – respect for both sender and receivers</w:t>
            </w:r>
          </w:p>
        </w:tc>
        <w:tc>
          <w:tcPr>
            <w:tcW w:w="0" w:type="auto"/>
            <w:hideMark/>
          </w:tcPr>
          <w:p w14:paraId="66A6312C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  <w:t xml:space="preserve">Analyst with </w:t>
            </w:r>
            <w:r w:rsidRPr="002B6B2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tr-TR" w:eastAsia="tr-TR"/>
                <w14:ligatures w14:val="none"/>
              </w:rPr>
              <w:t>ethical responsibility</w:t>
            </w:r>
            <w:r w:rsidRPr="002B6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  <w:t xml:space="preserve"> towards ST author and TT readers; decisions are justified by analysis</w:t>
            </w:r>
          </w:p>
        </w:tc>
        <w:tc>
          <w:tcPr>
            <w:tcW w:w="0" w:type="auto"/>
            <w:hideMark/>
          </w:tcPr>
          <w:p w14:paraId="10B95814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  <w:t>Any text type; especially useful for technical, institutional, educational texts</w:t>
            </w:r>
          </w:p>
        </w:tc>
      </w:tr>
      <w:tr w:rsidR="002B6B20" w:rsidRPr="002B6B20" w14:paraId="363890BC" w14:textId="77777777" w:rsidTr="002B6B20">
        <w:tc>
          <w:tcPr>
            <w:tcW w:w="0" w:type="auto"/>
            <w:hideMark/>
          </w:tcPr>
          <w:p w14:paraId="63C70CB2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tr-TR" w:eastAsia="tr-TR"/>
                <w14:ligatures w14:val="none"/>
              </w:rPr>
              <w:t>Multimodality / Audio-medial Approaches</w:t>
            </w:r>
            <w:r w:rsidRPr="002B6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  <w:t xml:space="preserve"> (from Reiss onwards)</w:t>
            </w:r>
          </w:p>
        </w:tc>
        <w:tc>
          <w:tcPr>
            <w:tcW w:w="0" w:type="auto"/>
            <w:hideMark/>
          </w:tcPr>
          <w:p w14:paraId="663EE20D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  <w:t xml:space="preserve">Interaction of </w:t>
            </w:r>
            <w:r w:rsidRPr="002B6B2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tr-TR" w:eastAsia="tr-TR"/>
                <w14:ligatures w14:val="none"/>
              </w:rPr>
              <w:t>text + image + sound + layout</w:t>
            </w:r>
          </w:p>
        </w:tc>
        <w:tc>
          <w:tcPr>
            <w:tcW w:w="0" w:type="auto"/>
            <w:hideMark/>
          </w:tcPr>
          <w:p w14:paraId="15730150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  <w:t>Multimodal text, mode, layout, screen constraints</w:t>
            </w:r>
          </w:p>
        </w:tc>
        <w:tc>
          <w:tcPr>
            <w:tcW w:w="0" w:type="auto"/>
            <w:hideMark/>
          </w:tcPr>
          <w:p w14:paraId="780625D0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  <w:t xml:space="preserve">ST–TT relation is not only verbal; </w:t>
            </w:r>
            <w:r w:rsidRPr="002B6B2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tr-TR" w:eastAsia="tr-TR"/>
                <w14:ligatures w14:val="none"/>
              </w:rPr>
              <w:t>visual and acoustic design</w:t>
            </w:r>
            <w:r w:rsidRPr="002B6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  <w:t xml:space="preserve"> also matter</w:t>
            </w:r>
          </w:p>
        </w:tc>
        <w:tc>
          <w:tcPr>
            <w:tcW w:w="0" w:type="auto"/>
            <w:hideMark/>
          </w:tcPr>
          <w:p w14:paraId="1EE58EE8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  <w:t xml:space="preserve">Localiser who respects both linguistic and </w:t>
            </w:r>
            <w:r w:rsidRPr="002B6B2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tr-TR" w:eastAsia="tr-TR"/>
                <w14:ligatures w14:val="none"/>
              </w:rPr>
              <w:t>design/technical constraints</w:t>
            </w:r>
          </w:p>
        </w:tc>
        <w:tc>
          <w:tcPr>
            <w:tcW w:w="0" w:type="auto"/>
            <w:hideMark/>
          </w:tcPr>
          <w:p w14:paraId="67A814F3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tr-TR" w:eastAsia="tr-TR"/>
                <w14:ligatures w14:val="none"/>
              </w:rPr>
              <w:t>Social media posts, app interfaces, e-commerce pages, video subtitles, banners</w:t>
            </w:r>
          </w:p>
        </w:tc>
      </w:tr>
    </w:tbl>
    <w:p w14:paraId="331549B3" w14:textId="4B2B73EC" w:rsidR="002B6B20" w:rsidRDefault="002B6B20" w:rsidP="002B6B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</w:pPr>
    </w:p>
    <w:p w14:paraId="0825F27A" w14:textId="77777777" w:rsidR="002B6B20" w:rsidRDefault="002B6B20" w:rsidP="002B6B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</w:pPr>
    </w:p>
    <w:p w14:paraId="06B90E0F" w14:textId="77777777" w:rsidR="002B6B20" w:rsidRPr="002B6B20" w:rsidRDefault="002B6B20" w:rsidP="002B6B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tr-TR" w:eastAsia="tr-TR"/>
          <w14:ligatures w14:val="none"/>
        </w:rPr>
      </w:pPr>
    </w:p>
    <w:p w14:paraId="2C68320B" w14:textId="77777777" w:rsidR="002B6B20" w:rsidRDefault="002B6B20" w:rsidP="002B6B2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  <w14:ligatures w14:val="none"/>
        </w:rPr>
      </w:pPr>
    </w:p>
    <w:p w14:paraId="52B923DB" w14:textId="4B879B93" w:rsidR="002B6B20" w:rsidRPr="002B6B20" w:rsidRDefault="002B6B20" w:rsidP="002B6B2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  <w14:ligatures w14:val="none"/>
        </w:rPr>
      </w:pPr>
      <w:r w:rsidRPr="002B6B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tr-TR" w:eastAsia="tr-TR"/>
          <w14:ligatures w14:val="none"/>
        </w:rPr>
        <w:lastRenderedPageBreak/>
        <w:t>Key Terms Glossary (Summary &amp; Comparison)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5"/>
        <w:gridCol w:w="2123"/>
        <w:gridCol w:w="5612"/>
        <w:gridCol w:w="5147"/>
      </w:tblGrid>
      <w:tr w:rsidR="002B6B20" w:rsidRPr="002B6B20" w14:paraId="539F5669" w14:textId="77777777" w:rsidTr="002B6B20">
        <w:tc>
          <w:tcPr>
            <w:tcW w:w="0" w:type="auto"/>
            <w:hideMark/>
          </w:tcPr>
          <w:p w14:paraId="23A15B82" w14:textId="77777777" w:rsidR="002B6B20" w:rsidRPr="002B6B20" w:rsidRDefault="002B6B20" w:rsidP="002B6B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Term</w:t>
            </w:r>
          </w:p>
        </w:tc>
        <w:tc>
          <w:tcPr>
            <w:tcW w:w="0" w:type="auto"/>
            <w:hideMark/>
          </w:tcPr>
          <w:p w14:paraId="004040A1" w14:textId="77777777" w:rsidR="002B6B20" w:rsidRPr="002B6B20" w:rsidRDefault="002B6B20" w:rsidP="002B6B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Related Theory / Scholar</w:t>
            </w:r>
          </w:p>
        </w:tc>
        <w:tc>
          <w:tcPr>
            <w:tcW w:w="0" w:type="auto"/>
            <w:hideMark/>
          </w:tcPr>
          <w:p w14:paraId="3BFC0F05" w14:textId="77777777" w:rsidR="002B6B20" w:rsidRPr="002B6B20" w:rsidRDefault="002B6B20" w:rsidP="002B6B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Short Definition</w:t>
            </w:r>
          </w:p>
        </w:tc>
        <w:tc>
          <w:tcPr>
            <w:tcW w:w="0" w:type="auto"/>
            <w:hideMark/>
          </w:tcPr>
          <w:p w14:paraId="4FD904F0" w14:textId="77777777" w:rsidR="002B6B20" w:rsidRPr="002B6B20" w:rsidRDefault="002B6B20" w:rsidP="002B6B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Example / Note</w:t>
            </w:r>
          </w:p>
        </w:tc>
      </w:tr>
      <w:tr w:rsidR="002B6B20" w:rsidRPr="002B6B20" w14:paraId="0CEEA2C8" w14:textId="77777777" w:rsidTr="002B6B20">
        <w:tc>
          <w:tcPr>
            <w:tcW w:w="0" w:type="auto"/>
            <w:hideMark/>
          </w:tcPr>
          <w:p w14:paraId="22C2D137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Function</w:t>
            </w:r>
          </w:p>
        </w:tc>
        <w:tc>
          <w:tcPr>
            <w:tcW w:w="0" w:type="auto"/>
            <w:hideMark/>
          </w:tcPr>
          <w:p w14:paraId="26E0E101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All functional theories</w:t>
            </w:r>
          </w:p>
        </w:tc>
        <w:tc>
          <w:tcPr>
            <w:tcW w:w="0" w:type="auto"/>
            <w:hideMark/>
          </w:tcPr>
          <w:p w14:paraId="1C24BBC8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 xml:space="preserve">What the text is </w:t>
            </w:r>
            <w:r w:rsidRPr="002B6B20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trying to achieve</w:t>
            </w:r>
            <w:r w:rsidRPr="002B6B20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 xml:space="preserve"> (inform, persuade, entertain, etc.)</w:t>
            </w:r>
          </w:p>
        </w:tc>
        <w:tc>
          <w:tcPr>
            <w:tcW w:w="0" w:type="auto"/>
            <w:hideMark/>
          </w:tcPr>
          <w:p w14:paraId="4844A805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Manual → inform; advert → persuade</w:t>
            </w:r>
          </w:p>
        </w:tc>
      </w:tr>
      <w:tr w:rsidR="002B6B20" w:rsidRPr="002B6B20" w14:paraId="5B2CE922" w14:textId="77777777" w:rsidTr="002B6B20">
        <w:tc>
          <w:tcPr>
            <w:tcW w:w="0" w:type="auto"/>
            <w:hideMark/>
          </w:tcPr>
          <w:p w14:paraId="39E799C4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Text Type</w:t>
            </w:r>
          </w:p>
        </w:tc>
        <w:tc>
          <w:tcPr>
            <w:tcW w:w="0" w:type="auto"/>
            <w:hideMark/>
          </w:tcPr>
          <w:p w14:paraId="0502B625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Reiss</w:t>
            </w:r>
          </w:p>
        </w:tc>
        <w:tc>
          <w:tcPr>
            <w:tcW w:w="0" w:type="auto"/>
            <w:hideMark/>
          </w:tcPr>
          <w:p w14:paraId="541256EC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 xml:space="preserve">Classification of texts according to their </w:t>
            </w:r>
            <w:r w:rsidRPr="002B6B20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dominant function</w:t>
            </w:r>
          </w:p>
        </w:tc>
        <w:tc>
          <w:tcPr>
            <w:tcW w:w="0" w:type="auto"/>
            <w:hideMark/>
          </w:tcPr>
          <w:p w14:paraId="5E9D7F63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“User manual” = informative; “poem” = expressive; “slogan” = operative</w:t>
            </w:r>
          </w:p>
        </w:tc>
      </w:tr>
      <w:tr w:rsidR="002B6B20" w:rsidRPr="002B6B20" w14:paraId="0DB847D7" w14:textId="77777777" w:rsidTr="002B6B20">
        <w:tc>
          <w:tcPr>
            <w:tcW w:w="0" w:type="auto"/>
            <w:hideMark/>
          </w:tcPr>
          <w:p w14:paraId="64F893F7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Informative Text</w:t>
            </w:r>
          </w:p>
        </w:tc>
        <w:tc>
          <w:tcPr>
            <w:tcW w:w="0" w:type="auto"/>
            <w:hideMark/>
          </w:tcPr>
          <w:p w14:paraId="2F516A09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Reiss</w:t>
            </w:r>
          </w:p>
        </w:tc>
        <w:tc>
          <w:tcPr>
            <w:tcW w:w="0" w:type="auto"/>
            <w:hideMark/>
          </w:tcPr>
          <w:p w14:paraId="615DA60C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 xml:space="preserve">Text whose main aim is to </w:t>
            </w:r>
            <w:r w:rsidRPr="002B6B20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convey information</w:t>
            </w:r>
          </w:p>
        </w:tc>
        <w:tc>
          <w:tcPr>
            <w:tcW w:w="0" w:type="auto"/>
            <w:hideMark/>
          </w:tcPr>
          <w:p w14:paraId="60B7FED6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Technical manual, safety instructions, reports</w:t>
            </w:r>
          </w:p>
        </w:tc>
      </w:tr>
      <w:tr w:rsidR="002B6B20" w:rsidRPr="002B6B20" w14:paraId="38C49AD0" w14:textId="77777777" w:rsidTr="002B6B20">
        <w:tc>
          <w:tcPr>
            <w:tcW w:w="0" w:type="auto"/>
            <w:hideMark/>
          </w:tcPr>
          <w:p w14:paraId="71A8AC63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Expressive Text</w:t>
            </w:r>
          </w:p>
        </w:tc>
        <w:tc>
          <w:tcPr>
            <w:tcW w:w="0" w:type="auto"/>
            <w:hideMark/>
          </w:tcPr>
          <w:p w14:paraId="6EEA5563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Reiss</w:t>
            </w:r>
          </w:p>
        </w:tc>
        <w:tc>
          <w:tcPr>
            <w:tcW w:w="0" w:type="auto"/>
            <w:hideMark/>
          </w:tcPr>
          <w:p w14:paraId="2EDAA7E2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 xml:space="preserve">Text whose main aim is to show </w:t>
            </w:r>
            <w:r w:rsidRPr="002B6B20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author’s feelings and style</w:t>
            </w:r>
          </w:p>
        </w:tc>
        <w:tc>
          <w:tcPr>
            <w:tcW w:w="0" w:type="auto"/>
            <w:hideMark/>
          </w:tcPr>
          <w:p w14:paraId="156758C1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Novels, short stories, poems, song lyrics</w:t>
            </w:r>
          </w:p>
        </w:tc>
      </w:tr>
      <w:tr w:rsidR="002B6B20" w:rsidRPr="002B6B20" w14:paraId="537E6CC6" w14:textId="77777777" w:rsidTr="002B6B20">
        <w:tc>
          <w:tcPr>
            <w:tcW w:w="0" w:type="auto"/>
            <w:hideMark/>
          </w:tcPr>
          <w:p w14:paraId="6973E7F7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Operative Text</w:t>
            </w:r>
          </w:p>
        </w:tc>
        <w:tc>
          <w:tcPr>
            <w:tcW w:w="0" w:type="auto"/>
            <w:hideMark/>
          </w:tcPr>
          <w:p w14:paraId="1E96D6BC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Reiss</w:t>
            </w:r>
          </w:p>
        </w:tc>
        <w:tc>
          <w:tcPr>
            <w:tcW w:w="0" w:type="auto"/>
            <w:hideMark/>
          </w:tcPr>
          <w:p w14:paraId="1BB8A245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 xml:space="preserve">Text whose main aim is to </w:t>
            </w:r>
            <w:r w:rsidRPr="002B6B20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influence the reader’s behaviour</w:t>
            </w:r>
          </w:p>
        </w:tc>
        <w:tc>
          <w:tcPr>
            <w:tcW w:w="0" w:type="auto"/>
            <w:hideMark/>
          </w:tcPr>
          <w:p w14:paraId="1535FED8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Adverts, political speeches, fundraising campaigns</w:t>
            </w:r>
          </w:p>
        </w:tc>
      </w:tr>
      <w:tr w:rsidR="002B6B20" w:rsidRPr="002B6B20" w14:paraId="4971C009" w14:textId="77777777" w:rsidTr="002B6B20">
        <w:tc>
          <w:tcPr>
            <w:tcW w:w="0" w:type="auto"/>
            <w:hideMark/>
          </w:tcPr>
          <w:p w14:paraId="341FCCA2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Audio-medial / Multimodal Text</w:t>
            </w:r>
          </w:p>
        </w:tc>
        <w:tc>
          <w:tcPr>
            <w:tcW w:w="0" w:type="auto"/>
            <w:hideMark/>
          </w:tcPr>
          <w:p w14:paraId="42FA417C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Reiss + multimodality</w:t>
            </w:r>
          </w:p>
        </w:tc>
        <w:tc>
          <w:tcPr>
            <w:tcW w:w="0" w:type="auto"/>
            <w:hideMark/>
          </w:tcPr>
          <w:p w14:paraId="15AF1BB3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 xml:space="preserve">Text that combines </w:t>
            </w:r>
            <w:r w:rsidRPr="002B6B20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verbal language with images, sound, music, layout</w:t>
            </w:r>
          </w:p>
        </w:tc>
        <w:tc>
          <w:tcPr>
            <w:tcW w:w="0" w:type="auto"/>
            <w:hideMark/>
          </w:tcPr>
          <w:p w14:paraId="79C659D9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TV commercial, YouTube video with subtitles, Instagram post</w:t>
            </w:r>
          </w:p>
        </w:tc>
      </w:tr>
      <w:tr w:rsidR="002B6B20" w:rsidRPr="002B6B20" w14:paraId="50659AAC" w14:textId="77777777" w:rsidTr="002B6B20">
        <w:tc>
          <w:tcPr>
            <w:tcW w:w="0" w:type="auto"/>
            <w:hideMark/>
          </w:tcPr>
          <w:p w14:paraId="2BE0E9D2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Prototype</w:t>
            </w:r>
          </w:p>
        </w:tc>
        <w:tc>
          <w:tcPr>
            <w:tcW w:w="0" w:type="auto"/>
            <w:hideMark/>
          </w:tcPr>
          <w:p w14:paraId="6E76DAE1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Snell-Hornby</w:t>
            </w:r>
          </w:p>
        </w:tc>
        <w:tc>
          <w:tcPr>
            <w:tcW w:w="0" w:type="auto"/>
            <w:hideMark/>
          </w:tcPr>
          <w:p w14:paraId="60B7CF6A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 xml:space="preserve">Seeing texts as </w:t>
            </w:r>
            <w:r w:rsidRPr="002B6B20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typical examples</w:t>
            </w:r>
            <w:r w:rsidRPr="002B6B20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 xml:space="preserve"> rather than strict categories</w:t>
            </w:r>
          </w:p>
        </w:tc>
        <w:tc>
          <w:tcPr>
            <w:tcW w:w="0" w:type="auto"/>
            <w:hideMark/>
          </w:tcPr>
          <w:p w14:paraId="069D0215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A tourism brochure is not “purely” operative or informative; it’s a hybrid prototype</w:t>
            </w:r>
          </w:p>
        </w:tc>
      </w:tr>
      <w:tr w:rsidR="002B6B20" w:rsidRPr="002B6B20" w14:paraId="4B1F5E8D" w14:textId="77777777" w:rsidTr="002B6B20">
        <w:tc>
          <w:tcPr>
            <w:tcW w:w="0" w:type="auto"/>
            <w:hideMark/>
          </w:tcPr>
          <w:p w14:paraId="64EB976B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Integrated Approach</w:t>
            </w:r>
          </w:p>
        </w:tc>
        <w:tc>
          <w:tcPr>
            <w:tcW w:w="0" w:type="auto"/>
            <w:hideMark/>
          </w:tcPr>
          <w:p w14:paraId="3D1CC308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Snell-Hornby</w:t>
            </w:r>
          </w:p>
        </w:tc>
        <w:tc>
          <w:tcPr>
            <w:tcW w:w="0" w:type="auto"/>
            <w:hideMark/>
          </w:tcPr>
          <w:p w14:paraId="1372D79C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 xml:space="preserve">Holistic approach that considers </w:t>
            </w:r>
            <w:r w:rsidRPr="002B6B20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genre, function, culture, lexis, register</w:t>
            </w:r>
            <w:r w:rsidRPr="002B6B20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 xml:space="preserve"> together</w:t>
            </w:r>
          </w:p>
        </w:tc>
        <w:tc>
          <w:tcPr>
            <w:tcW w:w="0" w:type="auto"/>
            <w:hideMark/>
          </w:tcPr>
          <w:p w14:paraId="37C63D03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“Don’t look only at function; look at the whole text profile.”</w:t>
            </w:r>
          </w:p>
        </w:tc>
      </w:tr>
      <w:tr w:rsidR="002B6B20" w:rsidRPr="002B6B20" w14:paraId="5D395F88" w14:textId="77777777" w:rsidTr="002B6B20">
        <w:tc>
          <w:tcPr>
            <w:tcW w:w="0" w:type="auto"/>
            <w:hideMark/>
          </w:tcPr>
          <w:p w14:paraId="0D7B257C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Translational Action</w:t>
            </w:r>
          </w:p>
        </w:tc>
        <w:tc>
          <w:tcPr>
            <w:tcW w:w="0" w:type="auto"/>
            <w:hideMark/>
          </w:tcPr>
          <w:p w14:paraId="4859CCDB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Holz-Mänttäri</w:t>
            </w:r>
          </w:p>
        </w:tc>
        <w:tc>
          <w:tcPr>
            <w:tcW w:w="0" w:type="auto"/>
            <w:hideMark/>
          </w:tcPr>
          <w:p w14:paraId="3814B9FC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 xml:space="preserve">Viewing translation as a </w:t>
            </w:r>
            <w:r w:rsidRPr="002B6B20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purposeful professional action</w:t>
            </w:r>
            <w:r w:rsidRPr="002B6B20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 xml:space="preserve"> in a real situation</w:t>
            </w:r>
          </w:p>
        </w:tc>
        <w:tc>
          <w:tcPr>
            <w:tcW w:w="0" w:type="auto"/>
            <w:hideMark/>
          </w:tcPr>
          <w:p w14:paraId="0E2FDCE1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The translator plans and produces a TT to meet concrete communicative needs</w:t>
            </w:r>
          </w:p>
        </w:tc>
      </w:tr>
      <w:tr w:rsidR="002B6B20" w:rsidRPr="002B6B20" w14:paraId="6A371989" w14:textId="77777777" w:rsidTr="002B6B20">
        <w:tc>
          <w:tcPr>
            <w:tcW w:w="0" w:type="auto"/>
            <w:hideMark/>
          </w:tcPr>
          <w:p w14:paraId="7D12BC4B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Initiator</w:t>
            </w:r>
          </w:p>
        </w:tc>
        <w:tc>
          <w:tcPr>
            <w:tcW w:w="0" w:type="auto"/>
            <w:hideMark/>
          </w:tcPr>
          <w:p w14:paraId="52CE8BEC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Holz-Mänttäri</w:t>
            </w:r>
          </w:p>
        </w:tc>
        <w:tc>
          <w:tcPr>
            <w:tcW w:w="0" w:type="auto"/>
            <w:hideMark/>
          </w:tcPr>
          <w:p w14:paraId="58DAAE2E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 xml:space="preserve">The party who </w:t>
            </w:r>
            <w:r w:rsidRPr="002B6B20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needs</w:t>
            </w:r>
            <w:r w:rsidRPr="002B6B20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 xml:space="preserve"> the translation</w:t>
            </w:r>
          </w:p>
        </w:tc>
        <w:tc>
          <w:tcPr>
            <w:tcW w:w="0" w:type="auto"/>
            <w:hideMark/>
          </w:tcPr>
          <w:p w14:paraId="5859058F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A company, ministry, NGO, publisher</w:t>
            </w:r>
          </w:p>
        </w:tc>
      </w:tr>
      <w:tr w:rsidR="002B6B20" w:rsidRPr="002B6B20" w14:paraId="1FDCDD27" w14:textId="77777777" w:rsidTr="002B6B20">
        <w:tc>
          <w:tcPr>
            <w:tcW w:w="0" w:type="auto"/>
            <w:hideMark/>
          </w:tcPr>
          <w:p w14:paraId="5EDB8DC3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Commissioner</w:t>
            </w:r>
          </w:p>
        </w:tc>
        <w:tc>
          <w:tcPr>
            <w:tcW w:w="0" w:type="auto"/>
            <w:hideMark/>
          </w:tcPr>
          <w:p w14:paraId="27DA4862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Holz-Mänttäri</w:t>
            </w:r>
          </w:p>
        </w:tc>
        <w:tc>
          <w:tcPr>
            <w:tcW w:w="0" w:type="auto"/>
            <w:hideMark/>
          </w:tcPr>
          <w:p w14:paraId="7C17A992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 xml:space="preserve">The party who </w:t>
            </w:r>
            <w:r w:rsidRPr="002B6B20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orders / manages</w:t>
            </w:r>
            <w:r w:rsidRPr="002B6B20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 xml:space="preserve"> the translation</w:t>
            </w:r>
          </w:p>
        </w:tc>
        <w:tc>
          <w:tcPr>
            <w:tcW w:w="0" w:type="auto"/>
            <w:hideMark/>
          </w:tcPr>
          <w:p w14:paraId="32D13B4E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Agency, project manager, department head</w:t>
            </w:r>
          </w:p>
        </w:tc>
      </w:tr>
      <w:tr w:rsidR="002B6B20" w:rsidRPr="002B6B20" w14:paraId="16625A8D" w14:textId="77777777" w:rsidTr="002B6B20">
        <w:tc>
          <w:tcPr>
            <w:tcW w:w="0" w:type="auto"/>
            <w:hideMark/>
          </w:tcPr>
          <w:p w14:paraId="771CF562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ST Producer</w:t>
            </w:r>
          </w:p>
        </w:tc>
        <w:tc>
          <w:tcPr>
            <w:tcW w:w="0" w:type="auto"/>
            <w:hideMark/>
          </w:tcPr>
          <w:p w14:paraId="2CFEB719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Holz-Mänttäri</w:t>
            </w:r>
          </w:p>
        </w:tc>
        <w:tc>
          <w:tcPr>
            <w:tcW w:w="0" w:type="auto"/>
            <w:hideMark/>
          </w:tcPr>
          <w:p w14:paraId="42C315B8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 xml:space="preserve">The person who wrote the </w:t>
            </w:r>
            <w:r w:rsidRPr="002B6B20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source text</w:t>
            </w:r>
          </w:p>
        </w:tc>
        <w:tc>
          <w:tcPr>
            <w:tcW w:w="0" w:type="auto"/>
            <w:hideMark/>
          </w:tcPr>
          <w:p w14:paraId="5125134D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Author, copywriter, technical writer</w:t>
            </w:r>
          </w:p>
        </w:tc>
      </w:tr>
      <w:tr w:rsidR="002B6B20" w:rsidRPr="002B6B20" w14:paraId="528ED9EB" w14:textId="77777777" w:rsidTr="002B6B20">
        <w:tc>
          <w:tcPr>
            <w:tcW w:w="0" w:type="auto"/>
            <w:hideMark/>
          </w:tcPr>
          <w:p w14:paraId="56388413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TT User</w:t>
            </w:r>
          </w:p>
        </w:tc>
        <w:tc>
          <w:tcPr>
            <w:tcW w:w="0" w:type="auto"/>
            <w:hideMark/>
          </w:tcPr>
          <w:p w14:paraId="512FB73A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Holz-Mänttäri</w:t>
            </w:r>
          </w:p>
        </w:tc>
        <w:tc>
          <w:tcPr>
            <w:tcW w:w="0" w:type="auto"/>
            <w:hideMark/>
          </w:tcPr>
          <w:p w14:paraId="2E94FC3F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 xml:space="preserve">The person or institution that </w:t>
            </w:r>
            <w:r w:rsidRPr="002B6B20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uses</w:t>
            </w:r>
            <w:r w:rsidRPr="002B6B20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 xml:space="preserve"> the translation</w:t>
            </w:r>
          </w:p>
        </w:tc>
        <w:tc>
          <w:tcPr>
            <w:tcW w:w="0" w:type="auto"/>
            <w:hideMark/>
          </w:tcPr>
          <w:p w14:paraId="249DBE00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Teacher using a translated textbook; salesperson using a brochure</w:t>
            </w:r>
          </w:p>
        </w:tc>
      </w:tr>
      <w:tr w:rsidR="002B6B20" w:rsidRPr="002B6B20" w14:paraId="1B966D71" w14:textId="77777777" w:rsidTr="002B6B20">
        <w:tc>
          <w:tcPr>
            <w:tcW w:w="0" w:type="auto"/>
            <w:hideMark/>
          </w:tcPr>
          <w:p w14:paraId="4D4AF6FE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TT Receiver</w:t>
            </w:r>
          </w:p>
        </w:tc>
        <w:tc>
          <w:tcPr>
            <w:tcW w:w="0" w:type="auto"/>
            <w:hideMark/>
          </w:tcPr>
          <w:p w14:paraId="4FF25A52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Holz-Mänttäri</w:t>
            </w:r>
          </w:p>
        </w:tc>
        <w:tc>
          <w:tcPr>
            <w:tcW w:w="0" w:type="auto"/>
            <w:hideMark/>
          </w:tcPr>
          <w:p w14:paraId="1F7FD2C8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 xml:space="preserve">The </w:t>
            </w:r>
            <w:r w:rsidRPr="002B6B20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final audience</w:t>
            </w:r>
            <w:r w:rsidRPr="002B6B20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 xml:space="preserve"> of the translation</w:t>
            </w:r>
          </w:p>
        </w:tc>
        <w:tc>
          <w:tcPr>
            <w:tcW w:w="0" w:type="auto"/>
            <w:hideMark/>
          </w:tcPr>
          <w:p w14:paraId="05C61814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Students, customers, patients, tourists</w:t>
            </w:r>
          </w:p>
        </w:tc>
      </w:tr>
      <w:tr w:rsidR="002B6B20" w:rsidRPr="002B6B20" w14:paraId="45CC216D" w14:textId="77777777" w:rsidTr="002B6B20">
        <w:tc>
          <w:tcPr>
            <w:tcW w:w="0" w:type="auto"/>
            <w:hideMark/>
          </w:tcPr>
          <w:p w14:paraId="74F14809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Skopos</w:t>
            </w:r>
          </w:p>
        </w:tc>
        <w:tc>
          <w:tcPr>
            <w:tcW w:w="0" w:type="auto"/>
            <w:hideMark/>
          </w:tcPr>
          <w:p w14:paraId="6765861E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Vermeer</w:t>
            </w:r>
          </w:p>
        </w:tc>
        <w:tc>
          <w:tcPr>
            <w:tcW w:w="0" w:type="auto"/>
            <w:hideMark/>
          </w:tcPr>
          <w:p w14:paraId="3CD708B0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 xml:space="preserve">The </w:t>
            </w:r>
            <w:r w:rsidRPr="002B6B20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purpose/aim</w:t>
            </w:r>
            <w:r w:rsidRPr="002B6B20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 xml:space="preserve"> of the translation (for whom, why, and for what use)</w:t>
            </w:r>
          </w:p>
        </w:tc>
        <w:tc>
          <w:tcPr>
            <w:tcW w:w="0" w:type="auto"/>
            <w:hideMark/>
          </w:tcPr>
          <w:p w14:paraId="20750EF9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Tourist brochure → attract visitors; internal report → inform management</w:t>
            </w:r>
          </w:p>
        </w:tc>
      </w:tr>
      <w:tr w:rsidR="002B6B20" w:rsidRPr="002B6B20" w14:paraId="75BF9DE8" w14:textId="77777777" w:rsidTr="002B6B20">
        <w:tc>
          <w:tcPr>
            <w:tcW w:w="0" w:type="auto"/>
            <w:hideMark/>
          </w:tcPr>
          <w:p w14:paraId="432B2A90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Functional Adequacy</w:t>
            </w:r>
          </w:p>
        </w:tc>
        <w:tc>
          <w:tcPr>
            <w:tcW w:w="0" w:type="auto"/>
            <w:hideMark/>
          </w:tcPr>
          <w:p w14:paraId="6A0CB997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Vermeer</w:t>
            </w:r>
          </w:p>
        </w:tc>
        <w:tc>
          <w:tcPr>
            <w:tcW w:w="0" w:type="auto"/>
            <w:hideMark/>
          </w:tcPr>
          <w:p w14:paraId="0538C98C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 xml:space="preserve">The degree to which a translation is </w:t>
            </w:r>
            <w:r w:rsidRPr="002B6B20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appropriate for its declared purpose</w:t>
            </w:r>
          </w:p>
        </w:tc>
        <w:tc>
          <w:tcPr>
            <w:tcW w:w="0" w:type="auto"/>
            <w:hideMark/>
          </w:tcPr>
          <w:p w14:paraId="6E98C4B7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A non-literal slogan may be “good” if it effectively persuades the target audience</w:t>
            </w:r>
          </w:p>
        </w:tc>
      </w:tr>
      <w:tr w:rsidR="002B6B20" w:rsidRPr="002B6B20" w14:paraId="597C8E6B" w14:textId="77777777" w:rsidTr="002B6B20">
        <w:tc>
          <w:tcPr>
            <w:tcW w:w="0" w:type="auto"/>
            <w:hideMark/>
          </w:tcPr>
          <w:p w14:paraId="5319D02E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Coherence Rule</w:t>
            </w:r>
          </w:p>
        </w:tc>
        <w:tc>
          <w:tcPr>
            <w:tcW w:w="0" w:type="auto"/>
            <w:hideMark/>
          </w:tcPr>
          <w:p w14:paraId="20545B24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Vermeer</w:t>
            </w:r>
          </w:p>
        </w:tc>
        <w:tc>
          <w:tcPr>
            <w:tcW w:w="0" w:type="auto"/>
            <w:hideMark/>
          </w:tcPr>
          <w:p w14:paraId="5F39332B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 xml:space="preserve">The TT must be </w:t>
            </w:r>
            <w:r w:rsidRPr="002B6B20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coherent and understandable</w:t>
            </w:r>
            <w:r w:rsidRPr="002B6B20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 xml:space="preserve"> for target readers in their context</w:t>
            </w:r>
          </w:p>
        </w:tc>
        <w:tc>
          <w:tcPr>
            <w:tcW w:w="0" w:type="auto"/>
            <w:hideMark/>
          </w:tcPr>
          <w:p w14:paraId="306CD037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A Turkish brochure that Turkish readers find confusing violates this rule</w:t>
            </w:r>
          </w:p>
        </w:tc>
      </w:tr>
      <w:tr w:rsidR="002B6B20" w:rsidRPr="002B6B20" w14:paraId="4452F123" w14:textId="77777777" w:rsidTr="002B6B20">
        <w:tc>
          <w:tcPr>
            <w:tcW w:w="0" w:type="auto"/>
            <w:hideMark/>
          </w:tcPr>
          <w:p w14:paraId="1A7080CE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Fidelity Rule</w:t>
            </w:r>
          </w:p>
        </w:tc>
        <w:tc>
          <w:tcPr>
            <w:tcW w:w="0" w:type="auto"/>
            <w:hideMark/>
          </w:tcPr>
          <w:p w14:paraId="690A21D2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Vermeer</w:t>
            </w:r>
          </w:p>
        </w:tc>
        <w:tc>
          <w:tcPr>
            <w:tcW w:w="0" w:type="auto"/>
            <w:hideMark/>
          </w:tcPr>
          <w:p w14:paraId="44C05DF7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 xml:space="preserve">There must be a </w:t>
            </w:r>
            <w:r w:rsidRPr="002B6B20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meaningful relation</w:t>
            </w:r>
            <w:r w:rsidRPr="002B6B20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 xml:space="preserve"> between ST and TT</w:t>
            </w:r>
          </w:p>
        </w:tc>
        <w:tc>
          <w:tcPr>
            <w:tcW w:w="0" w:type="auto"/>
            <w:hideMark/>
          </w:tcPr>
          <w:p w14:paraId="22E19D0E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Even very free translations should still convey the core message of the ST</w:t>
            </w:r>
          </w:p>
        </w:tc>
      </w:tr>
      <w:tr w:rsidR="002B6B20" w:rsidRPr="002B6B20" w14:paraId="3DC198E3" w14:textId="77777777" w:rsidTr="002B6B20">
        <w:tc>
          <w:tcPr>
            <w:tcW w:w="0" w:type="auto"/>
            <w:hideMark/>
          </w:tcPr>
          <w:p w14:paraId="3CF99765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Extratextual Factors</w:t>
            </w:r>
          </w:p>
        </w:tc>
        <w:tc>
          <w:tcPr>
            <w:tcW w:w="0" w:type="auto"/>
            <w:hideMark/>
          </w:tcPr>
          <w:p w14:paraId="4E31C2B3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Nord</w:t>
            </w:r>
          </w:p>
        </w:tc>
        <w:tc>
          <w:tcPr>
            <w:tcW w:w="0" w:type="auto"/>
            <w:hideMark/>
          </w:tcPr>
          <w:p w14:paraId="66073207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 xml:space="preserve">Factors </w:t>
            </w:r>
            <w:r w:rsidRPr="002B6B20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around</w:t>
            </w:r>
            <w:r w:rsidRPr="002B6B20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 xml:space="preserve"> the text: sender, receiver, time, place, medium, motive, function</w:t>
            </w:r>
          </w:p>
        </w:tc>
        <w:tc>
          <w:tcPr>
            <w:tcW w:w="0" w:type="auto"/>
            <w:hideMark/>
          </w:tcPr>
          <w:p w14:paraId="3D17310D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Is it an email, a poster, a website? Who will see it, and where?</w:t>
            </w:r>
          </w:p>
        </w:tc>
      </w:tr>
      <w:tr w:rsidR="002B6B20" w:rsidRPr="002B6B20" w14:paraId="1AA48550" w14:textId="77777777" w:rsidTr="002B6B20">
        <w:tc>
          <w:tcPr>
            <w:tcW w:w="0" w:type="auto"/>
            <w:hideMark/>
          </w:tcPr>
          <w:p w14:paraId="47131C26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Intratextual Factors</w:t>
            </w:r>
          </w:p>
        </w:tc>
        <w:tc>
          <w:tcPr>
            <w:tcW w:w="0" w:type="auto"/>
            <w:hideMark/>
          </w:tcPr>
          <w:p w14:paraId="432BB5EC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Nord</w:t>
            </w:r>
          </w:p>
        </w:tc>
        <w:tc>
          <w:tcPr>
            <w:tcW w:w="0" w:type="auto"/>
            <w:hideMark/>
          </w:tcPr>
          <w:p w14:paraId="7EEEE996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 xml:space="preserve">Factors </w:t>
            </w:r>
            <w:r w:rsidRPr="002B6B20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inside</w:t>
            </w:r>
            <w:r w:rsidRPr="002B6B20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 xml:space="preserve"> the text: content, structure, lexis, syntax, tone, visuals</w:t>
            </w:r>
          </w:p>
        </w:tc>
        <w:tc>
          <w:tcPr>
            <w:tcW w:w="0" w:type="auto"/>
            <w:hideMark/>
          </w:tcPr>
          <w:p w14:paraId="2E840AF1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Headings, paragraphs, terminology, style, images</w:t>
            </w:r>
          </w:p>
        </w:tc>
      </w:tr>
      <w:tr w:rsidR="002B6B20" w:rsidRPr="002B6B20" w14:paraId="434D5BA8" w14:textId="77777777" w:rsidTr="002B6B20">
        <w:tc>
          <w:tcPr>
            <w:tcW w:w="0" w:type="auto"/>
            <w:hideMark/>
          </w:tcPr>
          <w:p w14:paraId="349B05A9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Loyalty</w:t>
            </w:r>
          </w:p>
        </w:tc>
        <w:tc>
          <w:tcPr>
            <w:tcW w:w="0" w:type="auto"/>
            <w:hideMark/>
          </w:tcPr>
          <w:p w14:paraId="3A34F5B1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Nord</w:t>
            </w:r>
          </w:p>
        </w:tc>
        <w:tc>
          <w:tcPr>
            <w:tcW w:w="0" w:type="auto"/>
            <w:hideMark/>
          </w:tcPr>
          <w:p w14:paraId="1CC26437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 xml:space="preserve">Translator’s </w:t>
            </w:r>
            <w:r w:rsidRPr="002B6B20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ethical responsibility</w:t>
            </w:r>
            <w:r w:rsidRPr="002B6B20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 xml:space="preserve"> to both ST sender and TT readers</w:t>
            </w:r>
          </w:p>
        </w:tc>
        <w:tc>
          <w:tcPr>
            <w:tcW w:w="0" w:type="auto"/>
            <w:hideMark/>
          </w:tcPr>
          <w:p w14:paraId="688B4E72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Adapting the text for skopos, but not misleading either the author or the audience</w:t>
            </w:r>
          </w:p>
        </w:tc>
      </w:tr>
      <w:tr w:rsidR="002B6B20" w:rsidRPr="002B6B20" w14:paraId="0D61D328" w14:textId="77777777" w:rsidTr="002B6B20">
        <w:tc>
          <w:tcPr>
            <w:tcW w:w="0" w:type="auto"/>
            <w:hideMark/>
          </w:tcPr>
          <w:p w14:paraId="09C2199F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lastRenderedPageBreak/>
              <w:t>Mode / Multimodality</w:t>
            </w:r>
          </w:p>
        </w:tc>
        <w:tc>
          <w:tcPr>
            <w:tcW w:w="0" w:type="auto"/>
            <w:hideMark/>
          </w:tcPr>
          <w:p w14:paraId="765D9737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Multimodal approaches</w:t>
            </w:r>
          </w:p>
        </w:tc>
        <w:tc>
          <w:tcPr>
            <w:tcW w:w="0" w:type="auto"/>
            <w:hideMark/>
          </w:tcPr>
          <w:p w14:paraId="7F7F0A7E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 xml:space="preserve">Idea that meaning is made not just by words, but also by </w:t>
            </w:r>
            <w:r w:rsidRPr="002B6B20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sound, image, colour, movement</w:t>
            </w:r>
          </w:p>
        </w:tc>
        <w:tc>
          <w:tcPr>
            <w:tcW w:w="0" w:type="auto"/>
            <w:hideMark/>
          </w:tcPr>
          <w:p w14:paraId="47C28B2B" w14:textId="77777777" w:rsidR="002B6B20" w:rsidRPr="002B6B20" w:rsidRDefault="002B6B20" w:rsidP="002B6B20">
            <w:pPr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2B6B20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A single word on an app button gets its meaning from icon, colour, position, etc.</w:t>
            </w:r>
          </w:p>
        </w:tc>
      </w:tr>
    </w:tbl>
    <w:p w14:paraId="47A5B6DB" w14:textId="77777777" w:rsidR="00C4646F" w:rsidRDefault="00C4646F"/>
    <w:sectPr w:rsidR="00C4646F" w:rsidSect="002B6B20">
      <w:pgSz w:w="16838" w:h="11906" w:orient="landscape"/>
      <w:pgMar w:top="737" w:right="624" w:bottom="62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B20"/>
    <w:rsid w:val="002A67F9"/>
    <w:rsid w:val="002B6B20"/>
    <w:rsid w:val="002C1EE5"/>
    <w:rsid w:val="005F236F"/>
    <w:rsid w:val="007513F4"/>
    <w:rsid w:val="009E19B9"/>
    <w:rsid w:val="00AA7969"/>
    <w:rsid w:val="00C4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35762"/>
  <w15:chartTrackingRefBased/>
  <w15:docId w15:val="{F2C63E26-F6EB-4E54-94BB-C752C1D0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6B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6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B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6B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6B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6B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6B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6B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6B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B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6B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B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6B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6B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6B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6B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6B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6B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6B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6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6B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6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6B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6B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6B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6B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6B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6B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6B2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B6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846</Words>
  <Characters>5077</Characters>
  <Application>Microsoft Office Word</Application>
  <DocSecurity>0</DocSecurity>
  <Lines>282</Lines>
  <Paragraphs>155</Paragraphs>
  <ScaleCrop>false</ScaleCrop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Tokoz</dc:creator>
  <cp:keywords/>
  <dc:description/>
  <cp:lastModifiedBy>Fatma Tokoz</cp:lastModifiedBy>
  <cp:revision>1</cp:revision>
  <dcterms:created xsi:type="dcterms:W3CDTF">2025-12-03T07:19:00Z</dcterms:created>
  <dcterms:modified xsi:type="dcterms:W3CDTF">2025-12-03T07:22:00Z</dcterms:modified>
</cp:coreProperties>
</file>