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EAC46" w14:textId="77777777" w:rsidR="00464011" w:rsidRDefault="00464011" w:rsidP="00464011">
      <w:pPr>
        <w:pStyle w:val="NormalWeb"/>
        <w:spacing w:before="86" w:beforeAutospacing="0" w:after="0" w:afterAutospacing="0"/>
        <w:textAlignment w:val="baseline"/>
      </w:pPr>
      <w:r>
        <w:rPr>
          <w:rFonts w:ascii="Arial" w:eastAsia="MS PGothic" w:hAnsi="Arial" w:cs="MS PGothic"/>
          <w:b/>
          <w:bCs/>
          <w:color w:val="000000" w:themeColor="text1"/>
          <w:kern w:val="24"/>
          <w:lang w:val="en-US"/>
        </w:rPr>
        <w:t>Globalization</w:t>
      </w:r>
      <w:r>
        <w:rPr>
          <w:rFonts w:ascii="Arial" w:eastAsia="MS PGothic" w:hAnsi="Arial" w:cs="MS PGothic"/>
          <w:color w:val="000000" w:themeColor="text1"/>
          <w:kern w:val="24"/>
          <w:lang w:val="en-US"/>
        </w:rPr>
        <w:t xml:space="preserve"> refers to the shift toward a more integrated and interdependent world economy</w:t>
      </w:r>
    </w:p>
    <w:p w14:paraId="49B3CAE0" w14:textId="77777777" w:rsidR="00464011" w:rsidRDefault="00464011" w:rsidP="00464011">
      <w:pPr>
        <w:pStyle w:val="NormalWeb"/>
        <w:spacing w:before="86" w:beforeAutospacing="0" w:after="0" w:afterAutospacing="0"/>
        <w:textAlignment w:val="baseline"/>
      </w:pPr>
      <w:r>
        <w:rPr>
          <w:rFonts w:ascii="Arial" w:eastAsia="MS PGothic" w:hAnsi="Arial" w:cs="MS PGothic"/>
          <w:color w:val="000000" w:themeColor="text1"/>
          <w:kern w:val="24"/>
          <w:lang w:val="en-US"/>
        </w:rPr>
        <w:t xml:space="preserve">The </w:t>
      </w:r>
      <w:r>
        <w:rPr>
          <w:rFonts w:ascii="Arial" w:eastAsia="MS PGothic" w:hAnsi="Arial" w:cs="MS PGothic"/>
          <w:b/>
          <w:bCs/>
          <w:color w:val="000000" w:themeColor="text1"/>
          <w:kern w:val="24"/>
          <w:lang w:val="en-US"/>
        </w:rPr>
        <w:t xml:space="preserve">globalization of markets </w:t>
      </w:r>
      <w:r>
        <w:rPr>
          <w:rFonts w:ascii="Arial" w:eastAsia="MS PGothic" w:hAnsi="Arial" w:cs="MS PGothic"/>
          <w:color w:val="000000" w:themeColor="text1"/>
          <w:kern w:val="24"/>
          <w:lang w:val="en-US"/>
        </w:rPr>
        <w:t>refers to the merging of historically distinct and separate national markets into one huge global marketplace.</w:t>
      </w:r>
    </w:p>
    <w:p w14:paraId="048B12E5" w14:textId="117ADE3A" w:rsidR="00464011" w:rsidRDefault="00464011"/>
    <w:p w14:paraId="65B56C77" w14:textId="77777777" w:rsidR="00464011" w:rsidRDefault="00464011" w:rsidP="00464011">
      <w:pPr>
        <w:pStyle w:val="NormalWeb"/>
        <w:spacing w:before="86" w:beforeAutospacing="0" w:after="0" w:afterAutospacing="0"/>
        <w:textAlignment w:val="baseline"/>
      </w:pPr>
      <w:r>
        <w:rPr>
          <w:rFonts w:ascii="Arial" w:eastAsia="MS PGothic" w:hAnsi="Arial" w:cs="MS PGothic"/>
          <w:color w:val="000000" w:themeColor="text1"/>
          <w:kern w:val="24"/>
          <w:lang w:val="en-US"/>
        </w:rPr>
        <w:t xml:space="preserve">The </w:t>
      </w:r>
      <w:r>
        <w:rPr>
          <w:rFonts w:ascii="Arial" w:eastAsia="MS PGothic" w:hAnsi="Arial" w:cs="MS PGothic"/>
          <w:b/>
          <w:bCs/>
          <w:color w:val="000000" w:themeColor="text1"/>
          <w:kern w:val="24"/>
          <w:lang w:val="en-US"/>
        </w:rPr>
        <w:t xml:space="preserve">globalization of production </w:t>
      </w:r>
      <w:r>
        <w:rPr>
          <w:rFonts w:ascii="Arial" w:eastAsia="MS PGothic" w:hAnsi="Arial" w:cs="MS PGothic"/>
          <w:color w:val="000000" w:themeColor="text1"/>
          <w:kern w:val="24"/>
          <w:lang w:val="en-US"/>
        </w:rPr>
        <w:t>refers to the sourcing of goods and services from locations around the globe to take advantage of national differences in the cost and quality of</w:t>
      </w:r>
      <w:r>
        <w:rPr>
          <w:rFonts w:ascii="Arial" w:eastAsia="MS PGothic" w:hAnsi="Arial" w:cs="MS PGothic"/>
          <w:b/>
          <w:bCs/>
          <w:i/>
          <w:iCs/>
          <w:color w:val="000000" w:themeColor="text1"/>
          <w:kern w:val="24"/>
          <w:lang w:val="en-US"/>
        </w:rPr>
        <w:t xml:space="preserve"> </w:t>
      </w:r>
      <w:r>
        <w:rPr>
          <w:rFonts w:ascii="Arial" w:eastAsia="MS PGothic" w:hAnsi="Arial" w:cs="MS PGothic"/>
          <w:b/>
          <w:bCs/>
          <w:color w:val="000000" w:themeColor="text1"/>
          <w:kern w:val="24"/>
          <w:lang w:val="en-US"/>
        </w:rPr>
        <w:t>factors of production</w:t>
      </w:r>
      <w:r>
        <w:rPr>
          <w:rFonts w:ascii="Arial" w:eastAsia="MS PGothic" w:hAnsi="Arial" w:cs="MS PGothic"/>
          <w:color w:val="000000" w:themeColor="text1"/>
          <w:kern w:val="24"/>
          <w:lang w:val="en-US"/>
        </w:rPr>
        <w:t xml:space="preserve"> (such as labor, energy, land, and capital). </w:t>
      </w:r>
    </w:p>
    <w:p w14:paraId="2E34FD7D" w14:textId="77777777" w:rsidR="00464011" w:rsidRDefault="00464011" w:rsidP="00464011">
      <w:pPr>
        <w:pStyle w:val="NormalWeb"/>
        <w:kinsoku w:val="0"/>
        <w:overflowPunct w:val="0"/>
        <w:spacing w:before="86" w:beforeAutospacing="0" w:after="0" w:afterAutospacing="0"/>
        <w:textAlignment w:val="baseline"/>
        <w:rPr>
          <w:rFonts w:ascii="Arial" w:eastAsia="MS PGothic" w:hAnsi="Arial" w:cs="MS PGothic"/>
          <w:b/>
          <w:bCs/>
          <w:color w:val="000000" w:themeColor="text1"/>
          <w:kern w:val="24"/>
          <w:lang w:val="en-US"/>
        </w:rPr>
      </w:pPr>
    </w:p>
    <w:p w14:paraId="5F02B31F" w14:textId="059E8A8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General Agreement on Tariffs and Trade (GATT) </w:t>
      </w:r>
      <w:r>
        <w:rPr>
          <w:rFonts w:ascii="Arial" w:eastAsia="MS PGothic" w:hAnsi="Arial" w:cs="MS PGothic"/>
          <w:color w:val="000000" w:themeColor="text1"/>
          <w:kern w:val="24"/>
          <w:lang w:val="en-US"/>
        </w:rPr>
        <w:t>International treaty that committed signatories to lowering barriers to the free flow of goods across national borders and led to the WTO.</w:t>
      </w:r>
    </w:p>
    <w:p w14:paraId="31AC0B4C" w14:textId="41ED70D6" w:rsidR="00464011" w:rsidRDefault="00464011"/>
    <w:p w14:paraId="706B5F6B"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World Trade Organization </w:t>
      </w:r>
      <w:r>
        <w:rPr>
          <w:rFonts w:ascii="Arial" w:eastAsia="MS PGothic" w:hAnsi="Arial" w:cs="MS PGothic"/>
          <w:color w:val="000000" w:themeColor="text1"/>
          <w:kern w:val="24"/>
          <w:lang w:val="en-US"/>
        </w:rPr>
        <w:t>The organization that succeeded GATT as a result of the successful completion of the Uruguay Round of GATT negotiations.</w:t>
      </w:r>
    </w:p>
    <w:p w14:paraId="4D0EA612" w14:textId="62387CDC" w:rsidR="00464011" w:rsidRDefault="00464011"/>
    <w:p w14:paraId="6ADF68B9"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The International Monetary Fund </w:t>
      </w:r>
      <w:r>
        <w:rPr>
          <w:rFonts w:ascii="Arial" w:eastAsia="MS PGothic" w:hAnsi="Arial" w:cs="MS PGothic"/>
          <w:color w:val="000000" w:themeColor="text1"/>
          <w:kern w:val="24"/>
          <w:lang w:val="en-US"/>
        </w:rPr>
        <w:t>International institution set up to maintain order in the international monetary system.</w:t>
      </w:r>
    </w:p>
    <w:p w14:paraId="2C1B00D4" w14:textId="17C16B29" w:rsidR="00464011" w:rsidRDefault="00464011"/>
    <w:p w14:paraId="3945DB0D"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World Bank </w:t>
      </w:r>
      <w:r>
        <w:rPr>
          <w:rFonts w:ascii="Arial" w:eastAsia="MS PGothic" w:hAnsi="Arial" w:cs="MS PGothic"/>
          <w:color w:val="000000" w:themeColor="text1"/>
          <w:kern w:val="24"/>
          <w:lang w:val="en-US"/>
        </w:rPr>
        <w:t>International institution set up to promote general economic development in the world’s poorer nations.</w:t>
      </w:r>
    </w:p>
    <w:p w14:paraId="7238B160" w14:textId="47F15FFB" w:rsidR="00464011" w:rsidRDefault="00464011"/>
    <w:p w14:paraId="555363BB"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United Nations (UN) </w:t>
      </w:r>
      <w:r>
        <w:rPr>
          <w:rFonts w:ascii="Arial" w:eastAsia="MS PGothic" w:hAnsi="Arial" w:cs="MS PGothic"/>
          <w:color w:val="000000" w:themeColor="text1"/>
          <w:kern w:val="24"/>
          <w:lang w:val="en-US"/>
        </w:rPr>
        <w:t>An international organization made up of 193 countries headquartered in New York City, formed in 1945 to promote peace, security, and cooperation.</w:t>
      </w:r>
    </w:p>
    <w:p w14:paraId="11FC0D5B" w14:textId="7B25DEF0" w:rsidR="00464011" w:rsidRDefault="00464011"/>
    <w:p w14:paraId="1492E7EB"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Group of Twenty (G20)</w:t>
      </w:r>
    </w:p>
    <w:p w14:paraId="62D7D1CD"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t>Established in 1999, the G20 comprises the finance ministers and central bank governors of the 19 largest economies in the world, plus representatives from the European Union and the European Central Bank.</w:t>
      </w:r>
    </w:p>
    <w:p w14:paraId="76E68D81" w14:textId="0C987E7E" w:rsidR="00464011" w:rsidRDefault="00464011"/>
    <w:p w14:paraId="6C3075F5"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International trade </w:t>
      </w:r>
      <w:r>
        <w:rPr>
          <w:rFonts w:ascii="Arial" w:eastAsia="MS PGothic" w:hAnsi="Arial" w:cs="MS PGothic"/>
          <w:color w:val="000000" w:themeColor="text1"/>
          <w:kern w:val="24"/>
          <w:lang w:val="en-US"/>
        </w:rPr>
        <w:t>occurs when a firm exports goods or services to consumers in another country.</w:t>
      </w:r>
    </w:p>
    <w:p w14:paraId="1A2A3583"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br/>
      </w:r>
      <w:r>
        <w:rPr>
          <w:rFonts w:ascii="Arial" w:eastAsia="MS PGothic" w:hAnsi="Arial" w:cs="MS PGothic"/>
          <w:b/>
          <w:bCs/>
          <w:color w:val="000000" w:themeColor="text1"/>
          <w:kern w:val="24"/>
          <w:lang w:val="en-US"/>
        </w:rPr>
        <w:t xml:space="preserve">Foreign direct investment </w:t>
      </w:r>
      <w:r>
        <w:rPr>
          <w:rFonts w:ascii="Arial" w:eastAsia="MS PGothic" w:hAnsi="Arial" w:cs="MS PGothic"/>
          <w:color w:val="000000" w:themeColor="text1"/>
          <w:kern w:val="24"/>
          <w:lang w:val="en-US"/>
        </w:rPr>
        <w:t xml:space="preserve">occurs when a firm invests resources in business activities outside its home country. </w:t>
      </w:r>
    </w:p>
    <w:p w14:paraId="51395328" w14:textId="60539FA8" w:rsidR="00464011" w:rsidRDefault="00464011"/>
    <w:p w14:paraId="49F56035"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Moore’s law </w:t>
      </w:r>
      <w:r>
        <w:rPr>
          <w:rFonts w:ascii="Arial" w:eastAsia="MS PGothic" w:hAnsi="Arial" w:cs="MS PGothic"/>
          <w:color w:val="000000" w:themeColor="text1"/>
          <w:kern w:val="24"/>
          <w:lang w:val="en-US"/>
        </w:rPr>
        <w:t>predicts that the power of microprocessor technology doubles and its cost of production falls in half every 18 months).</w:t>
      </w:r>
    </w:p>
    <w:p w14:paraId="0320CB4C" w14:textId="6578A984" w:rsidR="00464011" w:rsidRDefault="00464011"/>
    <w:p w14:paraId="59ACB223"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stock of foreign direct investment (FDI) </w:t>
      </w:r>
      <w:r>
        <w:rPr>
          <w:rFonts w:ascii="Arial" w:eastAsia="MS PGothic" w:hAnsi="Arial" w:cs="MS PGothic"/>
          <w:color w:val="000000" w:themeColor="text1"/>
          <w:kern w:val="24"/>
          <w:lang w:val="en-US"/>
        </w:rPr>
        <w:t>refers to the total cumulative value of foreign investments as a percentage of the country’s GDP.</w:t>
      </w:r>
    </w:p>
    <w:p w14:paraId="610C2C1B" w14:textId="513ABB83" w:rsidR="00464011" w:rsidRDefault="00464011"/>
    <w:p w14:paraId="21A316C4"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lastRenderedPageBreak/>
        <w:t xml:space="preserve">A </w:t>
      </w:r>
      <w:r>
        <w:rPr>
          <w:rFonts w:ascii="Arial" w:eastAsia="MS PGothic" w:hAnsi="Arial" w:cs="MS PGothic"/>
          <w:b/>
          <w:bCs/>
          <w:color w:val="000000" w:themeColor="text1"/>
          <w:kern w:val="24"/>
          <w:lang w:val="en-US"/>
        </w:rPr>
        <w:t xml:space="preserve">multinational enterprise (MNE) </w:t>
      </w:r>
      <w:r>
        <w:rPr>
          <w:rFonts w:ascii="Arial" w:eastAsia="MS PGothic" w:hAnsi="Arial" w:cs="MS PGothic"/>
          <w:color w:val="000000" w:themeColor="text1"/>
          <w:kern w:val="24"/>
          <w:lang w:val="en-US"/>
        </w:rPr>
        <w:t>is any business that has productive activities in two or more countries.</w:t>
      </w:r>
    </w:p>
    <w:p w14:paraId="55385F6A" w14:textId="08AD1D58" w:rsidR="00464011" w:rsidRDefault="00464011"/>
    <w:p w14:paraId="2817FE5F" w14:textId="77777777" w:rsidR="00464011" w:rsidRDefault="00464011" w:rsidP="0046401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t xml:space="preserve">An </w:t>
      </w:r>
      <w:r>
        <w:rPr>
          <w:rFonts w:ascii="Arial" w:eastAsia="MS PGothic" w:hAnsi="Arial" w:cs="MS PGothic"/>
          <w:b/>
          <w:bCs/>
          <w:color w:val="000000" w:themeColor="text1"/>
          <w:kern w:val="24"/>
          <w:lang w:val="en-US"/>
        </w:rPr>
        <w:t xml:space="preserve">international business </w:t>
      </w:r>
      <w:r>
        <w:rPr>
          <w:rFonts w:ascii="Arial" w:eastAsia="MS PGothic" w:hAnsi="Arial" w:cs="MS PGothic"/>
          <w:color w:val="000000" w:themeColor="text1"/>
          <w:kern w:val="24"/>
          <w:lang w:val="en-US"/>
        </w:rPr>
        <w:t>is any firm that engages in international trade or investment.</w:t>
      </w:r>
    </w:p>
    <w:p w14:paraId="744B7F06" w14:textId="3B863FA7" w:rsidR="00464011" w:rsidRDefault="00464011"/>
    <w:p w14:paraId="2844CBE7" w14:textId="77777777" w:rsidR="00464011" w:rsidRDefault="00464011"/>
    <w:p w14:paraId="64C4330B" w14:textId="172DEDD4" w:rsidR="00464011" w:rsidRDefault="00464011"/>
    <w:sectPr w:rsidR="00464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11"/>
    <w:rsid w:val="004640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DA29"/>
  <w15:chartTrackingRefBased/>
  <w15:docId w15:val="{B5A8FF8B-A3C9-458E-B582-58F2287C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640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479492">
      <w:bodyDiv w:val="1"/>
      <w:marLeft w:val="0"/>
      <w:marRight w:val="0"/>
      <w:marTop w:val="0"/>
      <w:marBottom w:val="0"/>
      <w:divBdr>
        <w:top w:val="none" w:sz="0" w:space="0" w:color="auto"/>
        <w:left w:val="none" w:sz="0" w:space="0" w:color="auto"/>
        <w:bottom w:val="none" w:sz="0" w:space="0" w:color="auto"/>
        <w:right w:val="none" w:sz="0" w:space="0" w:color="auto"/>
      </w:divBdr>
    </w:div>
    <w:div w:id="256208031">
      <w:bodyDiv w:val="1"/>
      <w:marLeft w:val="0"/>
      <w:marRight w:val="0"/>
      <w:marTop w:val="0"/>
      <w:marBottom w:val="0"/>
      <w:divBdr>
        <w:top w:val="none" w:sz="0" w:space="0" w:color="auto"/>
        <w:left w:val="none" w:sz="0" w:space="0" w:color="auto"/>
        <w:bottom w:val="none" w:sz="0" w:space="0" w:color="auto"/>
        <w:right w:val="none" w:sz="0" w:space="0" w:color="auto"/>
      </w:divBdr>
    </w:div>
    <w:div w:id="419329044">
      <w:bodyDiv w:val="1"/>
      <w:marLeft w:val="0"/>
      <w:marRight w:val="0"/>
      <w:marTop w:val="0"/>
      <w:marBottom w:val="0"/>
      <w:divBdr>
        <w:top w:val="none" w:sz="0" w:space="0" w:color="auto"/>
        <w:left w:val="none" w:sz="0" w:space="0" w:color="auto"/>
        <w:bottom w:val="none" w:sz="0" w:space="0" w:color="auto"/>
        <w:right w:val="none" w:sz="0" w:space="0" w:color="auto"/>
      </w:divBdr>
    </w:div>
    <w:div w:id="590311782">
      <w:bodyDiv w:val="1"/>
      <w:marLeft w:val="0"/>
      <w:marRight w:val="0"/>
      <w:marTop w:val="0"/>
      <w:marBottom w:val="0"/>
      <w:divBdr>
        <w:top w:val="none" w:sz="0" w:space="0" w:color="auto"/>
        <w:left w:val="none" w:sz="0" w:space="0" w:color="auto"/>
        <w:bottom w:val="none" w:sz="0" w:space="0" w:color="auto"/>
        <w:right w:val="none" w:sz="0" w:space="0" w:color="auto"/>
      </w:divBdr>
    </w:div>
    <w:div w:id="700323262">
      <w:bodyDiv w:val="1"/>
      <w:marLeft w:val="0"/>
      <w:marRight w:val="0"/>
      <w:marTop w:val="0"/>
      <w:marBottom w:val="0"/>
      <w:divBdr>
        <w:top w:val="none" w:sz="0" w:space="0" w:color="auto"/>
        <w:left w:val="none" w:sz="0" w:space="0" w:color="auto"/>
        <w:bottom w:val="none" w:sz="0" w:space="0" w:color="auto"/>
        <w:right w:val="none" w:sz="0" w:space="0" w:color="auto"/>
      </w:divBdr>
    </w:div>
    <w:div w:id="770467565">
      <w:bodyDiv w:val="1"/>
      <w:marLeft w:val="0"/>
      <w:marRight w:val="0"/>
      <w:marTop w:val="0"/>
      <w:marBottom w:val="0"/>
      <w:divBdr>
        <w:top w:val="none" w:sz="0" w:space="0" w:color="auto"/>
        <w:left w:val="none" w:sz="0" w:space="0" w:color="auto"/>
        <w:bottom w:val="none" w:sz="0" w:space="0" w:color="auto"/>
        <w:right w:val="none" w:sz="0" w:space="0" w:color="auto"/>
      </w:divBdr>
    </w:div>
    <w:div w:id="1081682245">
      <w:bodyDiv w:val="1"/>
      <w:marLeft w:val="0"/>
      <w:marRight w:val="0"/>
      <w:marTop w:val="0"/>
      <w:marBottom w:val="0"/>
      <w:divBdr>
        <w:top w:val="none" w:sz="0" w:space="0" w:color="auto"/>
        <w:left w:val="none" w:sz="0" w:space="0" w:color="auto"/>
        <w:bottom w:val="none" w:sz="0" w:space="0" w:color="auto"/>
        <w:right w:val="none" w:sz="0" w:space="0" w:color="auto"/>
      </w:divBdr>
    </w:div>
    <w:div w:id="1183596272">
      <w:bodyDiv w:val="1"/>
      <w:marLeft w:val="0"/>
      <w:marRight w:val="0"/>
      <w:marTop w:val="0"/>
      <w:marBottom w:val="0"/>
      <w:divBdr>
        <w:top w:val="none" w:sz="0" w:space="0" w:color="auto"/>
        <w:left w:val="none" w:sz="0" w:space="0" w:color="auto"/>
        <w:bottom w:val="none" w:sz="0" w:space="0" w:color="auto"/>
        <w:right w:val="none" w:sz="0" w:space="0" w:color="auto"/>
      </w:divBdr>
    </w:div>
    <w:div w:id="1425571093">
      <w:bodyDiv w:val="1"/>
      <w:marLeft w:val="0"/>
      <w:marRight w:val="0"/>
      <w:marTop w:val="0"/>
      <w:marBottom w:val="0"/>
      <w:divBdr>
        <w:top w:val="none" w:sz="0" w:space="0" w:color="auto"/>
        <w:left w:val="none" w:sz="0" w:space="0" w:color="auto"/>
        <w:bottom w:val="none" w:sz="0" w:space="0" w:color="auto"/>
        <w:right w:val="none" w:sz="0" w:space="0" w:color="auto"/>
      </w:divBdr>
    </w:div>
    <w:div w:id="1712681977">
      <w:bodyDiv w:val="1"/>
      <w:marLeft w:val="0"/>
      <w:marRight w:val="0"/>
      <w:marTop w:val="0"/>
      <w:marBottom w:val="0"/>
      <w:divBdr>
        <w:top w:val="none" w:sz="0" w:space="0" w:color="auto"/>
        <w:left w:val="none" w:sz="0" w:space="0" w:color="auto"/>
        <w:bottom w:val="none" w:sz="0" w:space="0" w:color="auto"/>
        <w:right w:val="none" w:sz="0" w:space="0" w:color="auto"/>
      </w:divBdr>
    </w:div>
    <w:div w:id="1767337847">
      <w:bodyDiv w:val="1"/>
      <w:marLeft w:val="0"/>
      <w:marRight w:val="0"/>
      <w:marTop w:val="0"/>
      <w:marBottom w:val="0"/>
      <w:divBdr>
        <w:top w:val="none" w:sz="0" w:space="0" w:color="auto"/>
        <w:left w:val="none" w:sz="0" w:space="0" w:color="auto"/>
        <w:bottom w:val="none" w:sz="0" w:space="0" w:color="auto"/>
        <w:right w:val="none" w:sz="0" w:space="0" w:color="auto"/>
      </w:divBdr>
    </w:div>
    <w:div w:id="1818918278">
      <w:bodyDiv w:val="1"/>
      <w:marLeft w:val="0"/>
      <w:marRight w:val="0"/>
      <w:marTop w:val="0"/>
      <w:marBottom w:val="0"/>
      <w:divBdr>
        <w:top w:val="none" w:sz="0" w:space="0" w:color="auto"/>
        <w:left w:val="none" w:sz="0" w:space="0" w:color="auto"/>
        <w:bottom w:val="none" w:sz="0" w:space="0" w:color="auto"/>
        <w:right w:val="none" w:sz="0" w:space="0" w:color="auto"/>
      </w:divBdr>
    </w:div>
    <w:div w:id="19803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2021-02-12T07:53:00Z</dcterms:created>
  <dcterms:modified xsi:type="dcterms:W3CDTF">2021-02-12T08:02:00Z</dcterms:modified>
</cp:coreProperties>
</file>