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587F4" w14:textId="4C8F3065" w:rsidR="009E5DA4" w:rsidRPr="00AB5665" w:rsidRDefault="00000000">
      <w:pPr>
        <w:spacing w:after="80"/>
        <w:jc w:val="center"/>
        <w:rPr>
          <w:color w:val="000000" w:themeColor="text1"/>
        </w:rPr>
      </w:pPr>
      <w:r w:rsidRPr="00AB5665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Çalışma Soruları</w:t>
      </w:r>
    </w:p>
    <w:p w14:paraId="601C4F08" w14:textId="57184BF8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“Bir kişi aynı anda kaygı ve umut yaşayabilir” ifadesi eko-duygulara ilişkin hangi temel anlayışı yansıtır?</w:t>
      </w:r>
    </w:p>
    <w:p w14:paraId="3910BDF3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Eko-duygular tek ve bölünmez bir tepkidir</w:t>
      </w:r>
    </w:p>
    <w:p w14:paraId="5253D729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Eko-duygular birbirini dışlayan, sıralı aşamalardır</w:t>
      </w:r>
    </w:p>
    <w:p w14:paraId="75722F76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Eko-duygular bir spektrumdur ve eşzamanlı olabilir</w:t>
      </w:r>
    </w:p>
    <w:p w14:paraId="3893AD77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Olumlu duygular iklim krizinde yer almaz</w:t>
      </w:r>
    </w:p>
    <w:p w14:paraId="33FF3187" w14:textId="330E10A8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Çevresel adalet ile ekolojik adalet arasındaki temel fark aşağıdakilerden hangisidir?</w:t>
      </w:r>
    </w:p>
    <w:p w14:paraId="601BE507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İkisi de yalnızca insan topluluklarını merkeze alır</w:t>
      </w:r>
    </w:p>
    <w:p w14:paraId="292E2758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Çevresel adalet insanlar için, ekolojik adalet insan-dışı varlıkların içsel değeri için adaleti vurgular</w:t>
      </w:r>
    </w:p>
    <w:p w14:paraId="6AA820BA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Ekolojik adalet yalnızca ekonomik eşitsizlikle ilgilenir</w:t>
      </w:r>
    </w:p>
    <w:p w14:paraId="4EFC5D88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Çevresel adalet türler arası dağıtım adaletini esas alır</w:t>
      </w:r>
    </w:p>
    <w:p w14:paraId="429CFBB4" w14:textId="1D62F4C5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3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“</w:t>
      </w:r>
      <w:proofErr w:type="spellStart"/>
      <w:r w:rsidR="00000000">
        <w:rPr>
          <w:rFonts w:ascii="Calibri" w:eastAsia="Calibri" w:hAnsi="Calibri" w:cs="Calibri"/>
          <w:b/>
          <w:bCs/>
          <w:sz w:val="22"/>
          <w:szCs w:val="22"/>
        </w:rPr>
        <w:t>Antroposen</w:t>
      </w:r>
      <w:proofErr w:type="spellEnd"/>
      <w:r w:rsidR="00000000">
        <w:rPr>
          <w:rFonts w:ascii="Calibri" w:eastAsia="Calibri" w:hAnsi="Calibri" w:cs="Calibri"/>
          <w:b/>
          <w:bCs/>
          <w:sz w:val="22"/>
          <w:szCs w:val="22"/>
        </w:rPr>
        <w:t>” terimini</w:t>
      </w:r>
      <w:r>
        <w:rPr>
          <w:rFonts w:ascii="Calibri" w:eastAsia="Calibri" w:hAnsi="Calibri" w:cs="Calibri"/>
          <w:b/>
          <w:bCs/>
          <w:sz w:val="22"/>
          <w:szCs w:val="22"/>
        </w:rPr>
        <w:t>n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 eleştir</w:t>
      </w:r>
      <w:r>
        <w:rPr>
          <w:rFonts w:ascii="Calibri" w:eastAsia="Calibri" w:hAnsi="Calibri" w:cs="Calibri"/>
          <w:b/>
          <w:bCs/>
          <w:sz w:val="22"/>
          <w:szCs w:val="22"/>
        </w:rPr>
        <w:t>ilmesinin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 temel gerekçesi nedir?</w:t>
      </w:r>
    </w:p>
    <w:p w14:paraId="1B71054E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Terimin bilimsel olarak yanlış olması</w:t>
      </w:r>
    </w:p>
    <w:p w14:paraId="59E53DCD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İnsanların gezegen üzerindeki sorumluluğunu gizlemesi/maskelemesi</w:t>
      </w:r>
    </w:p>
    <w:p w14:paraId="4A80D1B7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Çok yeni bir kavram olması</w:t>
      </w:r>
    </w:p>
    <w:p w14:paraId="4AFA3711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Yalnızca jeologlar tarafından kullanılması</w:t>
      </w:r>
    </w:p>
    <w:p w14:paraId="5AE58754" w14:textId="5621E6CE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4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Ekolojik okuryazarlığın “çevresel sorunların farkındalığıyla başlayıp, davranışta bulunmayla sona eren bir süreç” olarak tanımlanması neyi vurgular?</w:t>
      </w:r>
    </w:p>
    <w:p w14:paraId="3285755D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Yalnızca bilgi edinmenin yeterli olduğunu</w:t>
      </w:r>
    </w:p>
    <w:p w14:paraId="44F42E14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Farkındalık, kaygı/bilgi ve eyleme dönük davranışın bir bütün oluşturduğunu</w:t>
      </w:r>
    </w:p>
    <w:p w14:paraId="66987F11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Duyguların sürece dâhil edilmemesi gerektiğini</w:t>
      </w:r>
    </w:p>
    <w:p w14:paraId="034FAC29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Sürecin yalnızca akademisyenler için geçerli olduğunu</w:t>
      </w:r>
    </w:p>
    <w:p w14:paraId="228C5379" w14:textId="137A9158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bCs/>
          <w:sz w:val="22"/>
          <w:szCs w:val="22"/>
        </w:rPr>
        <w:t>Ç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evresel bilgi → çevresel tutumlar → ekolojik okuryazarlık sıralama hangi mantığı yansıtır?</w:t>
      </w:r>
    </w:p>
    <w:p w14:paraId="7C6B13BC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Ekolojik okuryazarlık, bilgi ve tutum gibi alt basamaklar üzerine inşa edilir</w:t>
      </w:r>
    </w:p>
    <w:p w14:paraId="32E10EC8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Çevresel bilgi en üst ve nihai aşamadır</w:t>
      </w:r>
    </w:p>
    <w:p w14:paraId="7F00CF51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Tutumlar bilgiden bağımsız gelişir</w:t>
      </w:r>
    </w:p>
    <w:p w14:paraId="5D1E4D43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Okuryazarlık tutumların ön koşuludur</w:t>
      </w:r>
    </w:p>
    <w:p w14:paraId="6E86E053" w14:textId="464BCB60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6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Türkiye'de ekolojik okuryazarlık kavramını ilk kez kullanan ve 2011'de öğretmen eğitimini başlatan kuruluş hangisidir?</w:t>
      </w:r>
    </w:p>
    <w:p w14:paraId="4758B9F3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IPCC</w:t>
      </w:r>
    </w:p>
    <w:p w14:paraId="31E28B66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TEMA Vakfı</w:t>
      </w:r>
    </w:p>
    <w:p w14:paraId="5B0AA603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IDMC</w:t>
      </w:r>
    </w:p>
    <w:p w14:paraId="428FB8C0" w14:textId="77777777" w:rsidR="009E5DA4" w:rsidRDefault="00000000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Amerika Ekolojik Derneği</w:t>
      </w:r>
    </w:p>
    <w:p w14:paraId="69A3BCEB" w14:textId="77777777" w:rsidR="00C75DA8" w:rsidRDefault="00C75DA8">
      <w:pPr>
        <w:spacing w:after="40"/>
        <w:ind w:left="480"/>
      </w:pPr>
    </w:p>
    <w:p w14:paraId="1EAF7AAA" w14:textId="187F025D" w:rsidR="009E5DA4" w:rsidRDefault="00C75DA8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7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proofErr w:type="spellStart"/>
      <w:r w:rsidR="00000000">
        <w:rPr>
          <w:rFonts w:ascii="Calibri" w:eastAsia="Calibri" w:hAnsi="Calibri" w:cs="Calibri"/>
          <w:b/>
          <w:bCs/>
          <w:sz w:val="22"/>
          <w:szCs w:val="22"/>
        </w:rPr>
        <w:t>Ioane</w:t>
      </w:r>
      <w:proofErr w:type="spellEnd"/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="00000000">
        <w:rPr>
          <w:rFonts w:ascii="Calibri" w:eastAsia="Calibri" w:hAnsi="Calibri" w:cs="Calibri"/>
          <w:b/>
          <w:bCs/>
          <w:sz w:val="22"/>
          <w:szCs w:val="22"/>
        </w:rPr>
        <w:t>Teitiota'nın</w:t>
      </w:r>
      <w:proofErr w:type="spellEnd"/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 mülteci başvurusunun reddedilmesi, iklim mültecileri açısından öncelikle hangi sorunu ortaya koyar?</w:t>
      </w:r>
    </w:p>
    <w:p w14:paraId="4D018839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İklim göçünün hiçbir hukuki boyutu olmadığını</w:t>
      </w:r>
    </w:p>
    <w:p w14:paraId="4ED3E2F3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1951 Cenevre Sözleşmesi'nin iklim kaynaklı göçü kapsamadığını / terminolojik-yasal boşluğu</w:t>
      </w:r>
    </w:p>
    <w:p w14:paraId="31B661DD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Yeni Zelanda'da iklim değişikliğinin yaşanmadığını</w:t>
      </w:r>
    </w:p>
    <w:p w14:paraId="3CD5301B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 xml:space="preserve">D) </w:t>
      </w:r>
      <w:proofErr w:type="spellStart"/>
      <w:r>
        <w:rPr>
          <w:rFonts w:ascii="Calibri" w:eastAsia="Calibri" w:hAnsi="Calibri" w:cs="Calibri"/>
          <w:sz w:val="22"/>
          <w:szCs w:val="22"/>
        </w:rPr>
        <w:t>Teitiota'nın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siyasi nedenlerle göç ettiğini</w:t>
      </w:r>
    </w:p>
    <w:p w14:paraId="3B00EE06" w14:textId="5B32E637" w:rsidR="009E5DA4" w:rsidRDefault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8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Güney ülkelerinde yaşayan yoksul insanların iklim değişikliğinden orantısız etkilenmesi, sunumların hangi ortak temasıyla ilişkilidir?</w:t>
      </w:r>
    </w:p>
    <w:p w14:paraId="2DB8272F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İklim krizinin yalnızca bilimsel bir sorun olması</w:t>
      </w:r>
    </w:p>
    <w:p w14:paraId="0CC40919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Kirletici-kurban ilişkisi ve iklim adaletsizliği</w:t>
      </w:r>
    </w:p>
    <w:p w14:paraId="579DC172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Tüm ülkelerin eşit derecede sorumlu olması</w:t>
      </w:r>
    </w:p>
    <w:p w14:paraId="5A13298C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Sanayileşmenin çevreye zararsız olması</w:t>
      </w:r>
    </w:p>
    <w:p w14:paraId="2C2DD8B8" w14:textId="5E547752" w:rsidR="009E5DA4" w:rsidRDefault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9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proofErr w:type="spellStart"/>
      <w:r w:rsidR="00000000">
        <w:rPr>
          <w:rFonts w:ascii="Calibri" w:eastAsia="Calibri" w:hAnsi="Calibri" w:cs="Calibri"/>
          <w:b/>
          <w:bCs/>
          <w:sz w:val="22"/>
          <w:szCs w:val="22"/>
        </w:rPr>
        <w:t>Dominelli</w:t>
      </w:r>
      <w:proofErr w:type="spellEnd"/>
      <w:r w:rsidR="00000000">
        <w:rPr>
          <w:rFonts w:ascii="Calibri" w:eastAsia="Calibri" w:hAnsi="Calibri" w:cs="Calibri"/>
          <w:b/>
          <w:bCs/>
          <w:sz w:val="22"/>
          <w:szCs w:val="22"/>
        </w:rPr>
        <w:t xml:space="preserve"> öncülüğündeki Hint Okyanusu tsunamisi uygulaması ile Curtis Bay atık yakma fırını kampanyası örnekleri ortak olarak neyi gösterir?</w:t>
      </w:r>
    </w:p>
    <w:p w14:paraId="75DFE428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Sosyal hizmetin yalnızca afet sonrası maddi yardımla sınırlı olduğunu</w:t>
      </w:r>
    </w:p>
    <w:p w14:paraId="2940C027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Yeşil sosyal hizmetin hem afet müdahalesinde hem de çevresel/sosyal adalet savunuculuğunda işlev gördüğünü</w:t>
      </w:r>
    </w:p>
    <w:p w14:paraId="3418681E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Çevre sorunlarının sosyal hizmeti ilgilendirmediğini</w:t>
      </w:r>
    </w:p>
    <w:p w14:paraId="275F1979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Kampanyaların her zaman başarısız olduğunu</w:t>
      </w:r>
    </w:p>
    <w:p w14:paraId="0660F0E1" w14:textId="395AA968" w:rsidR="009E5DA4" w:rsidRDefault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10</w:t>
      </w:r>
      <w:r w:rsidR="00000000">
        <w:rPr>
          <w:rFonts w:ascii="Calibri" w:eastAsia="Calibri" w:hAnsi="Calibri" w:cs="Calibri"/>
          <w:b/>
          <w:bCs/>
          <w:sz w:val="22"/>
          <w:szCs w:val="22"/>
        </w:rPr>
        <w:t>. Kyoto Protokolü'nün uygulanmasında yaşanan sorunlar (</w:t>
      </w:r>
      <w:proofErr w:type="spellStart"/>
      <w:r w:rsidR="00000000">
        <w:rPr>
          <w:rFonts w:ascii="Calibri" w:eastAsia="Calibri" w:hAnsi="Calibri" w:cs="Calibri"/>
          <w:b/>
          <w:bCs/>
          <w:sz w:val="22"/>
          <w:szCs w:val="22"/>
        </w:rPr>
        <w:t>örn</w:t>
      </w:r>
      <w:proofErr w:type="spellEnd"/>
      <w:r w:rsidR="00000000">
        <w:rPr>
          <w:rFonts w:ascii="Calibri" w:eastAsia="Calibri" w:hAnsi="Calibri" w:cs="Calibri"/>
          <w:b/>
          <w:bCs/>
          <w:sz w:val="22"/>
          <w:szCs w:val="22"/>
        </w:rPr>
        <w:t>. 2001'de veto, emisyonların yine de artması) en çok hangi yargıyı destekler?</w:t>
      </w:r>
    </w:p>
    <w:p w14:paraId="5005AAE0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Uluslararası iklim taahhütleri otomatik olarak uygulanır</w:t>
      </w:r>
    </w:p>
    <w:p w14:paraId="047923A1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Sanayileşmiş ülkelerin verdiği sözler ile fiili uygulama arasında ciddi bir boşluk olabilir</w:t>
      </w:r>
    </w:p>
    <w:p w14:paraId="36587935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Gelişmekte olan ülkeler emisyonlardan tek başına sorumludur</w:t>
      </w:r>
    </w:p>
    <w:p w14:paraId="7B2EB60D" w14:textId="77777777" w:rsidR="009E5DA4" w:rsidRDefault="00000000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Protokol tüm ülkelerce eksiksiz uygulanmıştır</w:t>
      </w:r>
    </w:p>
    <w:p w14:paraId="2F5D116F" w14:textId="2005440A" w:rsidR="00841C2C" w:rsidRDefault="00841C2C" w:rsidP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11. </w:t>
      </w:r>
      <w:r>
        <w:rPr>
          <w:rFonts w:ascii="Calibri" w:eastAsia="Calibri" w:hAnsi="Calibri" w:cs="Calibri"/>
          <w:b/>
          <w:bCs/>
          <w:sz w:val="22"/>
          <w:szCs w:val="22"/>
        </w:rPr>
        <w:t>Eko-duyguların “bireyselleştirilmemesi” ve korumanın “insan yararına indirgenmemesi” vurgusu hangi ortak savı destekler?</w:t>
      </w:r>
    </w:p>
    <w:p w14:paraId="2072AE69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Sorunun temelinde yalnızca bireysel davranış vardır</w:t>
      </w:r>
    </w:p>
    <w:p w14:paraId="6A99B8E0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Sorunun kökeninde sömürgecilik, kapitalizm gibi yapısal etkenler vardır</w:t>
      </w:r>
    </w:p>
    <w:p w14:paraId="26565533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Duygular ve koruma birbiriyle ilgisizdir</w:t>
      </w:r>
    </w:p>
    <w:p w14:paraId="590F479D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Çözüm tamamen teknolojik müdahalelere bırakılmalıdır</w:t>
      </w:r>
    </w:p>
    <w:p w14:paraId="5229E06A" w14:textId="77777777" w:rsidR="00841C2C" w:rsidRDefault="00841C2C" w:rsidP="00841C2C">
      <w:pPr>
        <w:spacing w:after="40"/>
        <w:rPr>
          <w:rFonts w:ascii="Calibri" w:eastAsia="Calibri" w:hAnsi="Calibri" w:cs="Calibri"/>
          <w:sz w:val="22"/>
          <w:szCs w:val="22"/>
        </w:rPr>
      </w:pPr>
    </w:p>
    <w:p w14:paraId="6E9E4B25" w14:textId="0664651F" w:rsidR="00841C2C" w:rsidRDefault="00841C2C" w:rsidP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12. </w:t>
      </w:r>
      <w:r>
        <w:rPr>
          <w:rFonts w:ascii="Calibri" w:eastAsia="Calibri" w:hAnsi="Calibri" w:cs="Calibri"/>
          <w:b/>
          <w:bCs/>
          <w:sz w:val="22"/>
          <w:szCs w:val="22"/>
        </w:rPr>
        <w:t>Ekolojik okuryazarlığın “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sosyo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>-politik, kültürel, tarihsel ve ekonomik koşullardan etkilenen kişisel öğrenme süreci” olarak tanımlanması neyi ima eder?</w:t>
      </w:r>
    </w:p>
    <w:p w14:paraId="49B5B597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Ekolojik okuryazarlığın bağlamdan bağımsız, evrensel ve sabit olduğunu</w:t>
      </w:r>
    </w:p>
    <w:p w14:paraId="5B0431F4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Ekolojik okuryazarlığın yalnızca biyoloji bilgisinden ibaret olduğunu</w:t>
      </w:r>
    </w:p>
    <w:p w14:paraId="4AFD3E26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Ekolojik okuryazarlığın toplumsal bağlamla iç içe ve çok boyutlu olduğunu</w:t>
      </w:r>
    </w:p>
    <w:p w14:paraId="70460FD8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Öğrenmenin yalnızca okulda gerçekleştiğini</w:t>
      </w:r>
    </w:p>
    <w:p w14:paraId="01D92A1D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</w:p>
    <w:p w14:paraId="6FD59F01" w14:textId="1A47BB98" w:rsidR="00841C2C" w:rsidRDefault="00841C2C" w:rsidP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13. </w:t>
      </w:r>
      <w:r>
        <w:rPr>
          <w:rFonts w:ascii="Calibri" w:eastAsia="Calibri" w:hAnsi="Calibri" w:cs="Calibri"/>
          <w:b/>
          <w:bCs/>
          <w:sz w:val="22"/>
          <w:szCs w:val="22"/>
        </w:rPr>
        <w:t>Ekolojik okuryazarlık modelinde (bilgi, farkındalık, davranış, etik, duygu okuryazarlıkları) bu boyutların merkezde birleşmesi hangi anlayışı yansıtır?</w:t>
      </w:r>
    </w:p>
    <w:p w14:paraId="7141CEAA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Boyutların birbirinden tamamen bağımsız olduğunu</w:t>
      </w:r>
    </w:p>
    <w:p w14:paraId="04A23FC8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Ekolojik okuryazarlığın çok bileşenli ve bütüncül bir yapı olduğunu</w:t>
      </w:r>
    </w:p>
    <w:p w14:paraId="5F757E0C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Yalnızca bilgi boyutunun yeterli olduğunu</w:t>
      </w:r>
    </w:p>
    <w:p w14:paraId="39717A83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Duyguların okuryazarlıkla ilgisiz olduğunu</w:t>
      </w:r>
    </w:p>
    <w:p w14:paraId="4C172B90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</w:p>
    <w:p w14:paraId="729F6119" w14:textId="673BD271" w:rsidR="00841C2C" w:rsidRDefault="00841C2C" w:rsidP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14.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Yeşil sosyal hizmette mikro,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mezzo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ve makro düzeyde çalışılması gerektiği vurgusu neyi amaçlar?</w:t>
      </w:r>
    </w:p>
    <w:p w14:paraId="675D03C6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Yalnızca bireysel danışmanlıkla yetinmeyi</w:t>
      </w:r>
    </w:p>
    <w:p w14:paraId="7666C155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Sorunlara birey, topluluk ve politika/sistem düzeylerinde bütüncül müdahaleyi</w:t>
      </w:r>
    </w:p>
    <w:p w14:paraId="5F13C420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Çevre sorunlarını yalnızca devlete bırakmayı</w:t>
      </w:r>
    </w:p>
    <w:p w14:paraId="1457EF32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D) Yalnızca uluslararası anlaşmalara odaklanmayı</w:t>
      </w:r>
    </w:p>
    <w:p w14:paraId="0C801667" w14:textId="77777777" w:rsidR="00841C2C" w:rsidRDefault="00841C2C" w:rsidP="00841C2C">
      <w:pPr>
        <w:keepNext/>
        <w:spacing w:before="20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15. Hak temelli yaklaşımdaki “sorumluluk” ilkesi iklim değişikliği bağlamında neyi sağlar?</w:t>
      </w:r>
    </w:p>
    <w:p w14:paraId="28E81A9A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A) Hiç kimsenin sorumlu tutulamamasını</w:t>
      </w:r>
    </w:p>
    <w:p w14:paraId="6B514DB9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B) Yükümlülük sahibi tarafların hesap verebilir kılınmasını ve hak ihlallerine karşı önlem alınabilmesini</w:t>
      </w:r>
    </w:p>
    <w:p w14:paraId="291FB2DC" w14:textId="77777777" w:rsidR="00841C2C" w:rsidRDefault="00841C2C" w:rsidP="00841C2C">
      <w:pPr>
        <w:spacing w:after="40"/>
        <w:ind w:left="480"/>
      </w:pPr>
      <w:r>
        <w:rPr>
          <w:rFonts w:ascii="Calibri" w:eastAsia="Calibri" w:hAnsi="Calibri" w:cs="Calibri"/>
          <w:sz w:val="22"/>
          <w:szCs w:val="22"/>
        </w:rPr>
        <w:t>C) Yalnızca bireylerin tek başına sorumlu olmasını</w:t>
      </w:r>
    </w:p>
    <w:p w14:paraId="401D771E" w14:textId="77777777" w:rsidR="00841C2C" w:rsidRDefault="00841C2C" w:rsidP="00841C2C">
      <w:pPr>
        <w:spacing w:after="40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Politikaların denetlenmesinin engellenmesini</w:t>
      </w:r>
    </w:p>
    <w:p w14:paraId="1DED5276" w14:textId="77777777" w:rsidR="00841C2C" w:rsidRDefault="00841C2C" w:rsidP="00841C2C">
      <w:pPr>
        <w:spacing w:after="40"/>
        <w:rPr>
          <w:rFonts w:ascii="Calibri" w:eastAsia="Calibri" w:hAnsi="Calibri" w:cs="Calibri"/>
          <w:sz w:val="22"/>
          <w:szCs w:val="22"/>
        </w:rPr>
      </w:pPr>
    </w:p>
    <w:p w14:paraId="5E0FD54A" w14:textId="26BA28EC" w:rsidR="00841C2C" w:rsidRPr="00841C2C" w:rsidRDefault="00841C2C" w:rsidP="00841C2C">
      <w:pPr>
        <w:spacing w:after="40"/>
        <w:rPr>
          <w:rFonts w:ascii="Calibri" w:eastAsia="Calibri" w:hAnsi="Calibri" w:cs="Calibri"/>
          <w:sz w:val="22"/>
          <w:szCs w:val="22"/>
        </w:rPr>
      </w:pPr>
      <w:r w:rsidRPr="00841C2C">
        <w:rPr>
          <w:rFonts w:ascii="Calibri" w:eastAsia="Calibri" w:hAnsi="Calibri" w:cs="Calibri"/>
          <w:sz w:val="22"/>
          <w:szCs w:val="22"/>
        </w:rPr>
        <w:t>Klasik Soru:</w:t>
      </w:r>
    </w:p>
    <w:p w14:paraId="53378AF0" w14:textId="77777777" w:rsidR="00841C2C" w:rsidRPr="00841C2C" w:rsidRDefault="00841C2C" w:rsidP="00841C2C">
      <w:pPr>
        <w:spacing w:after="40"/>
        <w:rPr>
          <w:rFonts w:ascii="Calibri" w:eastAsia="Calibri" w:hAnsi="Calibri" w:cs="Calibri"/>
          <w:sz w:val="22"/>
          <w:szCs w:val="22"/>
        </w:rPr>
      </w:pPr>
    </w:p>
    <w:p w14:paraId="2E106511" w14:textId="2215EF9F" w:rsidR="00841C2C" w:rsidRPr="00841C2C" w:rsidRDefault="00841C2C" w:rsidP="00841C2C">
      <w:pPr>
        <w:contextualSpacing/>
        <w:jc w:val="both"/>
        <w:rPr>
          <w:rFonts w:ascii="Calibri" w:hAnsi="Calibri" w:cs="Calibri"/>
          <w:b/>
          <w:bCs/>
          <w:color w:val="000000" w:themeColor="text1"/>
        </w:rPr>
      </w:pPr>
      <w:r w:rsidRPr="00841C2C">
        <w:rPr>
          <w:rFonts w:ascii="Calibri" w:hAnsi="Calibri" w:cs="Calibri"/>
          <w:color w:val="000000" w:themeColor="text1"/>
          <w:sz w:val="24"/>
          <w:szCs w:val="24"/>
        </w:rPr>
        <w:t xml:space="preserve">İnsan-doğa ilişkisini insan haklarından yaşama hakkı bağlamında değerlendiriniz. </w:t>
      </w:r>
    </w:p>
    <w:p w14:paraId="46020F39" w14:textId="77777777" w:rsidR="00841C2C" w:rsidRPr="00841C2C" w:rsidRDefault="00841C2C" w:rsidP="00841C2C">
      <w:pPr>
        <w:pStyle w:val="ListeParagraf"/>
        <w:jc w:val="both"/>
        <w:rPr>
          <w:rFonts w:ascii="Calibri" w:hAnsi="Calibri" w:cs="Calibri"/>
          <w:b/>
          <w:bCs/>
          <w:color w:val="000000" w:themeColor="text1"/>
        </w:rPr>
      </w:pPr>
      <w:r w:rsidRPr="00841C2C">
        <w:rPr>
          <w:rFonts w:ascii="Calibri" w:hAnsi="Calibri" w:cs="Calibri"/>
          <w:i/>
          <w:iCs/>
          <w:color w:val="000000" w:themeColor="text1"/>
        </w:rPr>
        <w:t xml:space="preserve">Not: Hem insan hem de doğanın yaşama hakkı, sürdürülebilirliği ve karşılıklı bağımlılık bakımından hareketle farklı açılardan da düşünebilirsiniz. </w:t>
      </w:r>
    </w:p>
    <w:p w14:paraId="093E9A5B" w14:textId="77777777" w:rsidR="00841C2C" w:rsidRDefault="00841C2C" w:rsidP="00841C2C">
      <w:pPr>
        <w:spacing w:after="40"/>
      </w:pPr>
    </w:p>
    <w:p w14:paraId="7ED2FA1D" w14:textId="77777777" w:rsidR="00841C2C" w:rsidRDefault="00841C2C" w:rsidP="00841C2C">
      <w:pPr>
        <w:spacing w:after="40"/>
        <w:ind w:left="480"/>
      </w:pPr>
    </w:p>
    <w:p w14:paraId="136E3315" w14:textId="5B3087C6" w:rsidR="00841C2C" w:rsidRDefault="00841C2C" w:rsidP="00841C2C">
      <w:pPr>
        <w:spacing w:after="40"/>
        <w:ind w:left="480"/>
      </w:pPr>
    </w:p>
    <w:p w14:paraId="7EAE372A" w14:textId="77777777" w:rsidR="00841C2C" w:rsidRDefault="00841C2C" w:rsidP="00841C2C">
      <w:pPr>
        <w:spacing w:after="40"/>
      </w:pPr>
    </w:p>
    <w:p w14:paraId="2267AA5F" w14:textId="6BAEE391" w:rsidR="009E5DA4" w:rsidRDefault="009E5DA4"/>
    <w:sectPr w:rsidR="009E5D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07612"/>
    <w:multiLevelType w:val="hybridMultilevel"/>
    <w:tmpl w:val="CBD07B1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84C85"/>
    <w:multiLevelType w:val="hybridMultilevel"/>
    <w:tmpl w:val="7BA4A99E"/>
    <w:lvl w:ilvl="0" w:tplc="8E06E53A">
      <w:start w:val="1"/>
      <w:numFmt w:val="bullet"/>
      <w:lvlText w:val="●"/>
      <w:lvlJc w:val="left"/>
      <w:pPr>
        <w:ind w:left="720" w:hanging="360"/>
      </w:pPr>
    </w:lvl>
    <w:lvl w:ilvl="1" w:tplc="9B4EA47A">
      <w:start w:val="1"/>
      <w:numFmt w:val="bullet"/>
      <w:lvlText w:val="○"/>
      <w:lvlJc w:val="left"/>
      <w:pPr>
        <w:ind w:left="1440" w:hanging="360"/>
      </w:pPr>
    </w:lvl>
    <w:lvl w:ilvl="2" w:tplc="581E0ADE">
      <w:start w:val="1"/>
      <w:numFmt w:val="bullet"/>
      <w:lvlText w:val="■"/>
      <w:lvlJc w:val="left"/>
      <w:pPr>
        <w:ind w:left="2160" w:hanging="360"/>
      </w:pPr>
    </w:lvl>
    <w:lvl w:ilvl="3" w:tplc="319EEE9C">
      <w:start w:val="1"/>
      <w:numFmt w:val="bullet"/>
      <w:lvlText w:val="●"/>
      <w:lvlJc w:val="left"/>
      <w:pPr>
        <w:ind w:left="2880" w:hanging="360"/>
      </w:pPr>
    </w:lvl>
    <w:lvl w:ilvl="4" w:tplc="696013AA">
      <w:start w:val="1"/>
      <w:numFmt w:val="bullet"/>
      <w:lvlText w:val="○"/>
      <w:lvlJc w:val="left"/>
      <w:pPr>
        <w:ind w:left="3600" w:hanging="360"/>
      </w:pPr>
    </w:lvl>
    <w:lvl w:ilvl="5" w:tplc="B0C4EA0E">
      <w:start w:val="1"/>
      <w:numFmt w:val="bullet"/>
      <w:lvlText w:val="■"/>
      <w:lvlJc w:val="left"/>
      <w:pPr>
        <w:ind w:left="4320" w:hanging="360"/>
      </w:pPr>
    </w:lvl>
    <w:lvl w:ilvl="6" w:tplc="C9B24514">
      <w:start w:val="1"/>
      <w:numFmt w:val="bullet"/>
      <w:lvlText w:val="●"/>
      <w:lvlJc w:val="left"/>
      <w:pPr>
        <w:ind w:left="5040" w:hanging="360"/>
      </w:pPr>
    </w:lvl>
    <w:lvl w:ilvl="7" w:tplc="65E46784">
      <w:start w:val="1"/>
      <w:numFmt w:val="bullet"/>
      <w:lvlText w:val="●"/>
      <w:lvlJc w:val="left"/>
      <w:pPr>
        <w:ind w:left="5760" w:hanging="360"/>
      </w:pPr>
    </w:lvl>
    <w:lvl w:ilvl="8" w:tplc="8962EC6E">
      <w:start w:val="1"/>
      <w:numFmt w:val="bullet"/>
      <w:lvlText w:val="●"/>
      <w:lvlJc w:val="left"/>
      <w:pPr>
        <w:ind w:left="6480" w:hanging="360"/>
      </w:pPr>
    </w:lvl>
  </w:abstractNum>
  <w:num w:numId="1" w16cid:durableId="994795042">
    <w:abstractNumId w:val="1"/>
    <w:lvlOverride w:ilvl="0">
      <w:startOverride w:val="1"/>
    </w:lvlOverride>
  </w:num>
  <w:num w:numId="2" w16cid:durableId="113209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A4"/>
    <w:rsid w:val="00152F25"/>
    <w:rsid w:val="00841C2C"/>
    <w:rsid w:val="009E5DA4"/>
    <w:rsid w:val="00AB5665"/>
    <w:rsid w:val="00B579A6"/>
    <w:rsid w:val="00C7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1595C4"/>
  <w15:docId w15:val="{D8A4AD44-AF43-2745-9072-F42597EF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uiPriority w:val="34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683</Words>
  <Characters>4721</Characters>
  <Application>Microsoft Office Word</Application>
  <DocSecurity>0</DocSecurity>
  <Lines>188</Lines>
  <Paragraphs>75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oğuzhan çavuşoğlu</cp:lastModifiedBy>
  <cp:revision>5</cp:revision>
  <dcterms:created xsi:type="dcterms:W3CDTF">2026-06-05T10:08:00Z</dcterms:created>
  <dcterms:modified xsi:type="dcterms:W3CDTF">2026-06-05T10:20:00Z</dcterms:modified>
</cp:coreProperties>
</file>