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9E" w:rsidRDefault="003E7B9E" w:rsidP="003E7B9E">
      <w:pPr>
        <w:autoSpaceDE w:val="0"/>
        <w:autoSpaceDN w:val="0"/>
        <w:adjustRightInd w:val="0"/>
        <w:spacing w:before="100" w:after="100" w:line="240" w:lineRule="auto"/>
        <w:rPr>
          <w:rFonts w:ascii="Times New Roman" w:hAnsi="Times New Roman" w:cs="Times New Roman"/>
          <w:sz w:val="24"/>
          <w:szCs w:val="24"/>
        </w:rPr>
      </w:pPr>
    </w:p>
    <w:p w:rsidR="003E7B9E" w:rsidRDefault="003E7B9E" w:rsidP="003E7B9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TÜRKİYE’YE KABUL EDİLEN SURİYELİLER</w:t>
      </w:r>
    </w:p>
    <w:p w:rsidR="003E7B9E" w:rsidRDefault="003E7B9E" w:rsidP="003E7B9E">
      <w:pPr>
        <w:spacing w:after="0" w:line="240" w:lineRule="auto"/>
        <w:jc w:val="center"/>
        <w:rPr>
          <w:rFonts w:ascii="Times New Roman" w:eastAsia="Times New Roman" w:hAnsi="Times New Roman" w:cs="Times New Roman"/>
          <w:color w:val="444444"/>
          <w:sz w:val="24"/>
          <w:szCs w:val="24"/>
        </w:rPr>
      </w:pPr>
    </w:p>
    <w:p w:rsidR="003E7B9E" w:rsidRDefault="003E7B9E" w:rsidP="003E7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GİRİŞ</w:t>
      </w:r>
    </w:p>
    <w:p w:rsidR="003E7B9E" w:rsidRDefault="003E7B9E" w:rsidP="003E7B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2011 yılının bahar aylarında </w:t>
      </w:r>
      <w:hyperlink r:id="rId8" w:tooltip="Arap" w:history="1">
        <w:r>
          <w:rPr>
            <w:rStyle w:val="Kpr"/>
            <w:rFonts w:ascii="Times New Roman" w:hAnsi="Times New Roman" w:cs="Times New Roman"/>
            <w:sz w:val="24"/>
            <w:szCs w:val="24"/>
          </w:rPr>
          <w:t>Arap</w:t>
        </w:r>
      </w:hyperlink>
      <w:r>
        <w:rPr>
          <w:rFonts w:ascii="Times New Roman" w:hAnsi="Times New Roman" w:cs="Times New Roman"/>
          <w:sz w:val="24"/>
          <w:szCs w:val="24"/>
        </w:rPr>
        <w:t xml:space="preserve"> halklarının </w:t>
      </w:r>
      <w:hyperlink r:id="rId9" w:tooltip="Demokrasi" w:history="1">
        <w:r>
          <w:rPr>
            <w:rStyle w:val="Kpr"/>
            <w:rFonts w:ascii="Times New Roman" w:hAnsi="Times New Roman" w:cs="Times New Roman"/>
            <w:sz w:val="24"/>
            <w:szCs w:val="24"/>
          </w:rPr>
          <w:t>demokrasi</w:t>
        </w:r>
      </w:hyperlink>
      <w:r>
        <w:rPr>
          <w:rFonts w:ascii="Times New Roman" w:hAnsi="Times New Roman" w:cs="Times New Roman"/>
          <w:sz w:val="24"/>
          <w:szCs w:val="24"/>
        </w:rPr>
        <w:t xml:space="preserve">, </w:t>
      </w:r>
      <w:hyperlink r:id="rId10" w:tooltip="Özgürlük" w:history="1">
        <w:r>
          <w:rPr>
            <w:rStyle w:val="Kpr"/>
            <w:rFonts w:ascii="Times New Roman" w:hAnsi="Times New Roman" w:cs="Times New Roman"/>
            <w:sz w:val="24"/>
            <w:szCs w:val="24"/>
          </w:rPr>
          <w:t>özgürlük</w:t>
        </w:r>
      </w:hyperlink>
      <w:r>
        <w:rPr>
          <w:rFonts w:ascii="Times New Roman" w:hAnsi="Times New Roman" w:cs="Times New Roman"/>
          <w:sz w:val="24"/>
          <w:szCs w:val="24"/>
        </w:rPr>
        <w:t xml:space="preserve"> ve </w:t>
      </w:r>
      <w:hyperlink r:id="rId11" w:tooltip="İnsan hakları" w:history="1">
        <w:r>
          <w:rPr>
            <w:rStyle w:val="Kpr"/>
            <w:rFonts w:ascii="Times New Roman" w:hAnsi="Times New Roman" w:cs="Times New Roman"/>
            <w:sz w:val="24"/>
            <w:szCs w:val="24"/>
          </w:rPr>
          <w:t>insan hakları</w:t>
        </w:r>
      </w:hyperlink>
      <w:r>
        <w:t xml:space="preserve"> </w:t>
      </w:r>
      <w:r>
        <w:rPr>
          <w:rFonts w:ascii="Times New Roman" w:hAnsi="Times New Roman" w:cs="Times New Roman"/>
          <w:sz w:val="24"/>
          <w:szCs w:val="24"/>
        </w:rPr>
        <w:t>taleplerinden ortaya çıkan ve Kuzey Afrika’da başlayan ve daha sonra Ortadoğu’ya sıçrayan hemen hemen tüm dünyada destek bulan halk hareketleri;</w:t>
      </w:r>
      <w:hyperlink r:id="rId12" w:tooltip="Tunus" w:history="1">
        <w:r>
          <w:rPr>
            <w:rStyle w:val="Kpr"/>
            <w:rFonts w:ascii="Times New Roman" w:hAnsi="Times New Roman" w:cs="Times New Roman"/>
            <w:sz w:val="24"/>
            <w:szCs w:val="24"/>
          </w:rPr>
          <w:t>Tunus</w:t>
        </w:r>
      </w:hyperlink>
      <w:r>
        <w:rPr>
          <w:rFonts w:ascii="Times New Roman" w:hAnsi="Times New Roman" w:cs="Times New Roman"/>
          <w:sz w:val="24"/>
          <w:szCs w:val="24"/>
        </w:rPr>
        <w:t xml:space="preserve">, </w:t>
      </w:r>
      <w:hyperlink r:id="rId13" w:tooltip="Mısır" w:history="1">
        <w:r>
          <w:rPr>
            <w:rStyle w:val="Kpr"/>
            <w:rFonts w:ascii="Times New Roman" w:hAnsi="Times New Roman" w:cs="Times New Roman"/>
            <w:sz w:val="24"/>
            <w:szCs w:val="24"/>
          </w:rPr>
          <w:t>Mısır</w:t>
        </w:r>
      </w:hyperlink>
      <w:r>
        <w:rPr>
          <w:rFonts w:ascii="Times New Roman" w:hAnsi="Times New Roman" w:cs="Times New Roman"/>
          <w:sz w:val="24"/>
          <w:szCs w:val="24"/>
        </w:rPr>
        <w:t xml:space="preserve">, </w:t>
      </w:r>
      <w:hyperlink r:id="rId14" w:tooltip="Libya" w:history="1">
        <w:r>
          <w:rPr>
            <w:rStyle w:val="Kpr"/>
            <w:rFonts w:ascii="Times New Roman" w:hAnsi="Times New Roman" w:cs="Times New Roman"/>
            <w:sz w:val="24"/>
            <w:szCs w:val="24"/>
          </w:rPr>
          <w:t>Libya</w:t>
        </w:r>
      </w:hyperlink>
      <w:r>
        <w:rPr>
          <w:rFonts w:ascii="Times New Roman" w:hAnsi="Times New Roman" w:cs="Times New Roman"/>
          <w:sz w:val="24"/>
          <w:szCs w:val="24"/>
        </w:rPr>
        <w:t xml:space="preserve">, </w:t>
      </w:r>
      <w:hyperlink r:id="rId15" w:tooltip="Suriye" w:history="1">
        <w:r>
          <w:rPr>
            <w:rStyle w:val="Kpr"/>
            <w:rFonts w:ascii="Times New Roman" w:hAnsi="Times New Roman" w:cs="Times New Roman"/>
            <w:sz w:val="24"/>
            <w:szCs w:val="24"/>
          </w:rPr>
          <w:t>Suriye</w:t>
        </w:r>
      </w:hyperlink>
      <w:r>
        <w:rPr>
          <w:rFonts w:ascii="Times New Roman" w:hAnsi="Times New Roman" w:cs="Times New Roman"/>
          <w:sz w:val="24"/>
          <w:szCs w:val="24"/>
        </w:rPr>
        <w:t xml:space="preserve">, </w:t>
      </w:r>
      <w:hyperlink r:id="rId16" w:tooltip="Bahreyn" w:history="1">
        <w:r>
          <w:rPr>
            <w:rStyle w:val="Kpr"/>
            <w:rFonts w:ascii="Times New Roman" w:hAnsi="Times New Roman" w:cs="Times New Roman"/>
            <w:sz w:val="24"/>
            <w:szCs w:val="24"/>
          </w:rPr>
          <w:t>Bahreyn</w:t>
        </w:r>
      </w:hyperlink>
      <w:r>
        <w:rPr>
          <w:rFonts w:ascii="Times New Roman" w:hAnsi="Times New Roman" w:cs="Times New Roman"/>
          <w:sz w:val="24"/>
          <w:szCs w:val="24"/>
        </w:rPr>
        <w:t xml:space="preserve">, </w:t>
      </w:r>
      <w:hyperlink r:id="rId17" w:tooltip="Cezayir" w:history="1">
        <w:r>
          <w:rPr>
            <w:rStyle w:val="Kpr"/>
            <w:rFonts w:ascii="Times New Roman" w:hAnsi="Times New Roman" w:cs="Times New Roman"/>
            <w:sz w:val="24"/>
            <w:szCs w:val="24"/>
          </w:rPr>
          <w:t>Cezayir</w:t>
        </w:r>
      </w:hyperlink>
      <w:r>
        <w:rPr>
          <w:rFonts w:ascii="Times New Roman" w:hAnsi="Times New Roman" w:cs="Times New Roman"/>
          <w:sz w:val="24"/>
          <w:szCs w:val="24"/>
        </w:rPr>
        <w:t xml:space="preserve">, </w:t>
      </w:r>
      <w:hyperlink r:id="rId18" w:tooltip="Ürdün" w:history="1">
        <w:r>
          <w:rPr>
            <w:rStyle w:val="Kpr"/>
            <w:rFonts w:ascii="Times New Roman" w:hAnsi="Times New Roman" w:cs="Times New Roman"/>
            <w:sz w:val="24"/>
            <w:szCs w:val="24"/>
          </w:rPr>
          <w:t>Ürdün</w:t>
        </w:r>
      </w:hyperlink>
      <w:r>
        <w:rPr>
          <w:rFonts w:ascii="Times New Roman" w:hAnsi="Times New Roman" w:cs="Times New Roman"/>
          <w:sz w:val="24"/>
          <w:szCs w:val="24"/>
        </w:rPr>
        <w:t xml:space="preserve"> ve </w:t>
      </w:r>
      <w:hyperlink r:id="rId19" w:tooltip="Yemen" w:history="1">
        <w:r>
          <w:rPr>
            <w:rStyle w:val="Kpr"/>
            <w:rFonts w:ascii="Times New Roman" w:hAnsi="Times New Roman" w:cs="Times New Roman"/>
            <w:sz w:val="24"/>
            <w:szCs w:val="24"/>
          </w:rPr>
          <w:t>Yemen</w:t>
        </w:r>
      </w:hyperlink>
      <w:r>
        <w:rPr>
          <w:rFonts w:ascii="Times New Roman" w:hAnsi="Times New Roman" w:cs="Times New Roman"/>
          <w:sz w:val="24"/>
          <w:szCs w:val="24"/>
        </w:rPr>
        <w:t xml:space="preserve">’de büyük çapta; </w:t>
      </w:r>
      <w:hyperlink r:id="rId20" w:tooltip="Moritanya" w:history="1">
        <w:r>
          <w:rPr>
            <w:rStyle w:val="Kpr"/>
            <w:rFonts w:ascii="Times New Roman" w:hAnsi="Times New Roman" w:cs="Times New Roman"/>
            <w:sz w:val="24"/>
            <w:szCs w:val="24"/>
          </w:rPr>
          <w:t>Moritanya</w:t>
        </w:r>
      </w:hyperlink>
      <w:r>
        <w:rPr>
          <w:rFonts w:ascii="Times New Roman" w:hAnsi="Times New Roman" w:cs="Times New Roman"/>
          <w:sz w:val="24"/>
          <w:szCs w:val="24"/>
        </w:rPr>
        <w:t xml:space="preserve">, </w:t>
      </w:r>
      <w:hyperlink r:id="rId21" w:tooltip="Suudi Arabistan" w:history="1">
        <w:r>
          <w:rPr>
            <w:rStyle w:val="Kpr"/>
            <w:rFonts w:ascii="Times New Roman" w:hAnsi="Times New Roman" w:cs="Times New Roman"/>
            <w:sz w:val="24"/>
            <w:szCs w:val="24"/>
          </w:rPr>
          <w:t>Suudi Arabistan</w:t>
        </w:r>
      </w:hyperlink>
      <w:r>
        <w:rPr>
          <w:rFonts w:ascii="Times New Roman" w:hAnsi="Times New Roman" w:cs="Times New Roman"/>
          <w:sz w:val="24"/>
          <w:szCs w:val="24"/>
        </w:rPr>
        <w:t xml:space="preserve">, </w:t>
      </w:r>
      <w:hyperlink r:id="rId22" w:tooltip="Umman" w:history="1">
        <w:r>
          <w:rPr>
            <w:rStyle w:val="Kpr"/>
            <w:rFonts w:ascii="Times New Roman" w:hAnsi="Times New Roman" w:cs="Times New Roman"/>
            <w:sz w:val="24"/>
            <w:szCs w:val="24"/>
          </w:rPr>
          <w:t>Umman</w:t>
        </w:r>
      </w:hyperlink>
      <w:r>
        <w:rPr>
          <w:rFonts w:ascii="Times New Roman" w:hAnsi="Times New Roman" w:cs="Times New Roman"/>
          <w:sz w:val="24"/>
          <w:szCs w:val="24"/>
        </w:rPr>
        <w:t xml:space="preserve">, </w:t>
      </w:r>
      <w:hyperlink r:id="rId23" w:tooltip="Irak" w:history="1">
        <w:r>
          <w:rPr>
            <w:rStyle w:val="Kpr"/>
            <w:rFonts w:ascii="Times New Roman" w:hAnsi="Times New Roman" w:cs="Times New Roman"/>
            <w:sz w:val="24"/>
            <w:szCs w:val="24"/>
          </w:rPr>
          <w:t>Irak</w:t>
        </w:r>
      </w:hyperlink>
      <w:r>
        <w:rPr>
          <w:rFonts w:ascii="Times New Roman" w:hAnsi="Times New Roman" w:cs="Times New Roman"/>
          <w:sz w:val="24"/>
          <w:szCs w:val="24"/>
        </w:rPr>
        <w:t xml:space="preserve">, </w:t>
      </w:r>
      <w:hyperlink r:id="rId24" w:tooltip="Lübnan" w:history="1">
        <w:r>
          <w:rPr>
            <w:rStyle w:val="Kpr"/>
            <w:rFonts w:ascii="Times New Roman" w:hAnsi="Times New Roman" w:cs="Times New Roman"/>
            <w:sz w:val="24"/>
            <w:szCs w:val="24"/>
          </w:rPr>
          <w:t>Lübnan</w:t>
        </w:r>
      </w:hyperlink>
      <w:r>
        <w:rPr>
          <w:rFonts w:ascii="Times New Roman" w:hAnsi="Times New Roman" w:cs="Times New Roman"/>
          <w:sz w:val="24"/>
          <w:szCs w:val="24"/>
        </w:rPr>
        <w:t xml:space="preserve"> ve </w:t>
      </w:r>
      <w:hyperlink r:id="rId25" w:tooltip="Fas" w:history="1">
        <w:r>
          <w:rPr>
            <w:rStyle w:val="Kpr"/>
            <w:rFonts w:ascii="Times New Roman" w:hAnsi="Times New Roman" w:cs="Times New Roman"/>
            <w:sz w:val="24"/>
            <w:szCs w:val="24"/>
          </w:rPr>
          <w:t>Fas</w:t>
        </w:r>
      </w:hyperlink>
      <w:r>
        <w:rPr>
          <w:rFonts w:ascii="Times New Roman" w:hAnsi="Times New Roman" w:cs="Times New Roman"/>
          <w:sz w:val="24"/>
          <w:szCs w:val="24"/>
        </w:rPr>
        <w:t>’ta küçük çapta olmak üzere baş gösteren mitingler, protestolar, halk ayaklanmaları ve silahlı çatışmalar, bu ülkelerde iktidar ve rejim değişikliklerine veya iktidarların sorgulanmasına yol açmıştır. Ancak, homojen bir yapıya sahip olmayan gruplardan oluşan muhalif grupların Suriye’de Esed rejimine karşı başlattıkları halk hareketleri, bir mezhep çatışmasının ve iç savaşın ortaya çıkmasına ve dış güçlerin olaya müdahale etmelerine neden olmuştur.Üç yıldır Suriye’de devam eden bu çatışma ve iç savaş ortamı ile meydana gelen kaotik durum sonucu, can ve mal güvenliği ortadan kalkan çok sayıda Suriyeli,kitlesel olarak ülkelerini terk etmek zorunda kalmışlardır. Dolayısıyla, Türkiye, Suriye, Irak, Ürdün ve Lübnan başta olmak üzere, Ortadoğu ve Kuzey Afrika’da yoğun nüfus hareketleri başlamıştır.</w:t>
      </w:r>
    </w:p>
    <w:p w:rsidR="003E7B9E" w:rsidRDefault="003E7B9E" w:rsidP="003E7B9E">
      <w:pPr>
        <w:spacing w:after="0" w:line="240" w:lineRule="auto"/>
        <w:ind w:firstLine="708"/>
        <w:jc w:val="both"/>
        <w:rPr>
          <w:rFonts w:ascii="Times New Roman" w:hAnsi="Times New Roman" w:cs="Times New Roman"/>
          <w:sz w:val="24"/>
          <w:szCs w:val="24"/>
        </w:rPr>
      </w:pPr>
    </w:p>
    <w:p w:rsidR="003E7B9E" w:rsidRDefault="003E7B9E" w:rsidP="003E7B9E">
      <w:pPr>
        <w:spacing w:after="0" w:line="240" w:lineRule="auto"/>
        <w:ind w:firstLine="708"/>
        <w:jc w:val="both"/>
        <w:textAlignment w:val="top"/>
        <w:rPr>
          <w:rFonts w:ascii="Times New Roman" w:eastAsia="Times New Roman" w:hAnsi="Times New Roman" w:cs="Times New Roman"/>
          <w:sz w:val="24"/>
          <w:szCs w:val="24"/>
        </w:rPr>
      </w:pPr>
      <w:r>
        <w:rPr>
          <w:rFonts w:ascii="Times New Roman" w:hAnsi="Times New Roman" w:cs="Times New Roman"/>
          <w:sz w:val="24"/>
          <w:szCs w:val="24"/>
        </w:rPr>
        <w:t xml:space="preserve">Özellikle, terör </w:t>
      </w:r>
      <w:r>
        <w:rPr>
          <w:rFonts w:ascii="Times New Roman" w:eastAsia="Times New Roman" w:hAnsi="Times New Roman" w:cs="Times New Roman"/>
          <w:sz w:val="24"/>
          <w:szCs w:val="24"/>
        </w:rPr>
        <w:t>örgütü IŞİD’in, Musul ve Ezidi Kürtleri’nin yaşadığı Irak Sincar-Şengal Bölgesi’ne saldırıp, katliamlara başlamasından sonra, bu kez de çok sayıda Kuzey Irak’lı, Türkiye’ye kaçmak zorunda kalmışlardır.Bunu takiben, İŞID’in Suriye topraklarında Kobani’ye kadar ilerlemesi sonucu,</w:t>
      </w:r>
      <w:r>
        <w:rPr>
          <w:rFonts w:ascii="Times New Roman" w:hAnsi="Times New Roman" w:cs="Times New Roman"/>
          <w:sz w:val="24"/>
          <w:szCs w:val="24"/>
        </w:rPr>
        <w:t xml:space="preserve"> ciddi bir insanlık dramına sahne olan hareketler, bölgesel ve küresel ölçekte de etki yaratmıştır.</w:t>
      </w:r>
    </w:p>
    <w:p w:rsidR="003E7B9E" w:rsidRDefault="003E7B9E" w:rsidP="003E7B9E">
      <w:pPr>
        <w:spacing w:after="0" w:line="240" w:lineRule="auto"/>
        <w:ind w:firstLine="708"/>
        <w:jc w:val="both"/>
        <w:rPr>
          <w:rFonts w:ascii="Times New Roman" w:hAnsi="Times New Roman" w:cs="Times New Roman"/>
          <w:sz w:val="24"/>
          <w:szCs w:val="24"/>
        </w:rPr>
      </w:pPr>
    </w:p>
    <w:p w:rsidR="003E7B9E" w:rsidRDefault="003E7B9E" w:rsidP="003E7B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Tüm bu olaylar sonucu, yüzbinlerce insan yaşamlarını yitirmiş, ağır şekillerde yaralanmış, kadınlar ve kızlar kaçırılmış, cinsel saldırı ve şiddet kurbanı olmuş ve milyonlarca insan da, yerlerini terk ederek öncelikli olarak güvenli ülke olan Türkiye’ye kaçmak zorunda bırakılmışlardır. Bu nedenle, Türkiye, başta sınır güvenliği olmak üzere, ekonomik, sosyal ve kültürel yönlerden Suriye’deki iç savaş ve mezhep çatışmasından ve Türkiye’ye gelenler nedeniyle,en çok etkilenen ülke konumuna gelmiştir.</w:t>
      </w: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p>
    <w:p w:rsidR="003E7B9E" w:rsidRDefault="003E7B9E" w:rsidP="003E7B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Bugün itibariyle, sayıları tam olarak bilinemeyen, ancak kamplarda ve dışında kaçak olarak yaşayan toplam iki milyon Suriyeli ve Iraklı’nın ülkemizde bulundukları kabul edilmektedir. Bu durum, gerek kamplarda gerekse dışında yaşayan Suriyeli yabancıların, statülerinin ne olduğu, bu yabancılara ne tür mevzuat uygulanması ile sınır güvenliğinin sağlanması ve nüfus hareketlerinin önlenmesi için ne gibi önlemler alınması gerektiği sorununu gündeme getirmektedir. </w:t>
      </w:r>
    </w:p>
    <w:p w:rsidR="003E7B9E" w:rsidRDefault="003E7B9E" w:rsidP="003E7B9E">
      <w:pPr>
        <w:spacing w:after="0" w:line="240" w:lineRule="auto"/>
        <w:ind w:firstLine="708"/>
        <w:jc w:val="both"/>
        <w:rPr>
          <w:rFonts w:ascii="Times New Roman" w:hAnsi="Times New Roman" w:cs="Times New Roman"/>
          <w:sz w:val="24"/>
          <w:szCs w:val="24"/>
        </w:rPr>
      </w:pPr>
    </w:p>
    <w:p w:rsidR="003E7B9E" w:rsidRDefault="003E7B9E" w:rsidP="003E7B9E">
      <w:pPr>
        <w:pStyle w:val="ListeParagraf"/>
        <w:numPr>
          <w:ilvl w:val="0"/>
          <w:numId w:val="6"/>
        </w:numPr>
        <w:spacing w:before="100" w:beforeAutospacing="1" w:after="0" w:line="240" w:lineRule="auto"/>
        <w:jc w:val="both"/>
        <w:rPr>
          <w:rFonts w:ascii="Times New Roman" w:hAnsi="Times New Roman" w:cs="Times New Roman"/>
          <w:b/>
          <w:sz w:val="24"/>
          <w:szCs w:val="24"/>
        </w:rPr>
      </w:pPr>
      <w:r>
        <w:rPr>
          <w:b/>
        </w:rPr>
        <w:t>SURİYE VE IRAK’TAN GELEN YABANCILARIN STATÜLERİ</w:t>
      </w:r>
    </w:p>
    <w:p w:rsidR="003E7B9E" w:rsidRDefault="003E7B9E" w:rsidP="003E7B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Öncelikle, Suriye ve Irak’tan gelen yabancı olarak kabul edilen kişiler, homojen bir yapıya sahip değildirler. Bu kişilerin büyük bir kısmı, Suriye veya Irak vatandaşı olup, yabancı statüsündedirler. Ancak, az sayıda olmakla birlikte, bir kısmı vatansız, bir kısmı ise, çok vatandaşlığa sahip olup, bu vatandaşlıklardan biri de, Türkiye Cumhuriyeti vatandaşlığıdır. Türkiye’ye gelen bu kişilerin bir kısmı resmi olarak kamplarda, bir kısmı akrabalarının yanında kalmakta, bir kısmı kaçak konumunda kendi imkanları ile ev tutmakta, çalışmakta ve kısmı ise iki ülke vatandaşı olmanın olanaklarından yararlanmaktadır. Ayrıca, bu kişilerden bir kısmı Türkiye’ye pasaport veya pasaport yerine geçen belgeler ile giriş </w:t>
      </w:r>
      <w:r>
        <w:rPr>
          <w:rFonts w:ascii="Times New Roman" w:hAnsi="Times New Roman" w:cs="Times New Roman"/>
          <w:sz w:val="24"/>
          <w:szCs w:val="24"/>
        </w:rPr>
        <w:lastRenderedPageBreak/>
        <w:t xml:space="preserve">yaptıklarından,yasal mevzuat çerçevesinde ikamet ve seyahat etme özgürlüğüne sahip bulunmaktadırlar. </w:t>
      </w:r>
    </w:p>
    <w:p w:rsidR="003E7B9E" w:rsidRDefault="003E7B9E" w:rsidP="003E7B9E">
      <w:pPr>
        <w:spacing w:after="0" w:line="240" w:lineRule="auto"/>
        <w:ind w:firstLine="709"/>
        <w:jc w:val="both"/>
        <w:rPr>
          <w:rFonts w:ascii="Times New Roman" w:hAnsi="Times New Roman" w:cs="Times New Roman"/>
          <w:sz w:val="24"/>
          <w:szCs w:val="24"/>
        </w:rPr>
      </w:pPr>
    </w:p>
    <w:p w:rsidR="003E7B9E" w:rsidRDefault="003E7B9E" w:rsidP="003E7B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Sorun, büyük bir kısmı kaçak olarak doğrudan veya insan ticareti yapan kişiler tarafından Türkiye’ye girişleri sağlanan ve statüleri belirlenemeyen yabancı kişilerdir. Dolayısıyla, yukarıda belirtilen bu kişilere bütüncül bir yaklaşımla, sığınmacı veya mülteci veya ikincil koruma altına alınmış kişiler demek mümkün değildir.</w:t>
      </w:r>
    </w:p>
    <w:p w:rsidR="003E7B9E" w:rsidRDefault="003E7B9E" w:rsidP="003E7B9E">
      <w:pPr>
        <w:spacing w:after="0" w:line="240" w:lineRule="auto"/>
        <w:ind w:firstLine="709"/>
        <w:jc w:val="both"/>
        <w:rPr>
          <w:rFonts w:ascii="Times New Roman" w:hAnsi="Times New Roman" w:cs="Times New Roman"/>
          <w:sz w:val="24"/>
          <w:szCs w:val="24"/>
        </w:rPr>
      </w:pPr>
    </w:p>
    <w:p w:rsidR="003E7B9E" w:rsidRDefault="003E7B9E" w:rsidP="003E7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1.1.ÇOK VATANDAŞLIĞA SAHİP OLAN VEYA PASAPORT VEYA PASAPORT YERİNE GEÇEN BELGE İLE TÜRKİYE’YE GELENLER</w:t>
      </w:r>
    </w:p>
    <w:p w:rsidR="003E7B9E" w:rsidRDefault="003E7B9E" w:rsidP="003E7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5901 Sayılı Türk Vatandaşlığı Kanunu’nun 3/ç ve 3/b maddelerinde, Türk vatandaşı, Türkiye Cumhuriyeti Devletine vatandaşlık bağı ile bağlı olan kişi olarak tanımlanmış olup, çok vatandaşlık Türk vatandaşının aynı anda birden çok vatandaşlığa sahip olması şeklinde ifade edilmiştir.</w:t>
      </w:r>
    </w:p>
    <w:p w:rsidR="003E7B9E" w:rsidRDefault="003E7B9E" w:rsidP="003E7B9E">
      <w:pPr>
        <w:spacing w:after="0" w:line="240" w:lineRule="auto"/>
        <w:jc w:val="both"/>
        <w:rPr>
          <w:rFonts w:ascii="Times New Roman" w:hAnsi="Times New Roman" w:cs="Times New Roman"/>
          <w:sz w:val="24"/>
          <w:szCs w:val="24"/>
        </w:rPr>
      </w:pPr>
    </w:p>
    <w:p w:rsidR="003E7B9E" w:rsidRDefault="003E7B9E" w:rsidP="003E7B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Suriye’den gelen çok vatandaşlığa sahip kişilerden bir kısmı, hem Suriye hem de Türk vatandaşıdırlar. Bu şekilde Türk vatandaşlığına sahip olan Suriye’de yaşayan, ancak mezhep çatışması ve iç savaş nedeniyle, Suriye’den kaçıp Türkiye’ye gelen kişiler yönünden herhangi bir sorun bulunmamaktadır.</w:t>
      </w:r>
    </w:p>
    <w:p w:rsidR="003E7B9E" w:rsidRDefault="003E7B9E" w:rsidP="003E7B9E">
      <w:pPr>
        <w:spacing w:after="0" w:line="240" w:lineRule="auto"/>
        <w:ind w:firstLine="708"/>
        <w:jc w:val="both"/>
        <w:rPr>
          <w:rFonts w:ascii="Times New Roman" w:hAnsi="Times New Roman" w:cs="Times New Roman"/>
          <w:sz w:val="24"/>
          <w:szCs w:val="24"/>
        </w:rPr>
      </w:pPr>
    </w:p>
    <w:p w:rsidR="003E7B9E" w:rsidRDefault="003E7B9E" w:rsidP="003E7B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Diğer taraftan, </w:t>
      </w:r>
      <w:r>
        <w:rPr>
          <w:rFonts w:ascii="Times New Roman" w:hAnsi="Times New Roman" w:cs="Times New Roman"/>
          <w:bCs/>
          <w:sz w:val="24"/>
          <w:szCs w:val="24"/>
        </w:rPr>
        <w:t>Türkiye</w:t>
      </w:r>
      <w:r>
        <w:rPr>
          <w:rFonts w:ascii="Times New Roman" w:hAnsi="Times New Roman" w:cs="Times New Roman"/>
          <w:sz w:val="24"/>
          <w:szCs w:val="24"/>
        </w:rPr>
        <w:t xml:space="preserve"> Cumhuriyeti Hükümeti ile </w:t>
      </w:r>
      <w:r>
        <w:rPr>
          <w:rFonts w:ascii="Times New Roman" w:hAnsi="Times New Roman" w:cs="Times New Roman"/>
          <w:bCs/>
          <w:sz w:val="24"/>
          <w:szCs w:val="24"/>
        </w:rPr>
        <w:t>Suriye</w:t>
      </w:r>
      <w:r>
        <w:rPr>
          <w:rFonts w:ascii="Times New Roman" w:hAnsi="Times New Roman" w:cs="Times New Roman"/>
          <w:sz w:val="24"/>
          <w:szCs w:val="24"/>
        </w:rPr>
        <w:t xml:space="preserve"> Arap Cumhuriyeti Hükümeti Arasında Vizenin Karşılıklı Olarak Kaldırılmasına Dair Anlaşma 13 Ekim 2009 tarihinde düzenlenmiş olup, vizesiz sadece pasaport veya pasaport yerine geçen belgelerle Türkiye’ye giriş yapan Suriyeliler, 6458 Sayılı Yabancılar ve Uluslararası Koruma Kanunu’nun 19 ncu maddesine göre, vize muafiyetinin tanıdığı süre içinde veya doksan günden az kalmaları halinde, ikamet izni almaksızın Türkiye’de kalabilecekler, bu sürelerden fazla kalacaklar ise, ikamet izni alacaklardır.</w:t>
      </w:r>
    </w:p>
    <w:p w:rsidR="003E7B9E" w:rsidRDefault="003E7B9E" w:rsidP="003E7B9E">
      <w:pPr>
        <w:spacing w:after="0" w:line="240" w:lineRule="auto"/>
        <w:jc w:val="both"/>
        <w:rPr>
          <w:rFonts w:ascii="Times New Roman" w:hAnsi="Times New Roman" w:cs="Times New Roman"/>
          <w:b/>
          <w:sz w:val="24"/>
          <w:szCs w:val="24"/>
        </w:rPr>
      </w:pPr>
    </w:p>
    <w:p w:rsidR="003E7B9E" w:rsidRDefault="003E7B9E" w:rsidP="003E7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 SIĞINMACI VE MÜLTECİ</w:t>
      </w:r>
    </w:p>
    <w:p w:rsidR="003E7B9E" w:rsidRDefault="003E7B9E" w:rsidP="003E7B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Küresel ölçekte tüm Dünya’da kabul edilen ve uygulanan mültecilerle ilgili uluslararası düzenleme, 1951 Tarihli Mültecilerin Hukukî Statüsüne İlişkin Sözleşme ile 1967 Protokolü’dür.</w:t>
      </w:r>
    </w:p>
    <w:p w:rsidR="003E7B9E" w:rsidRDefault="003E7B9E" w:rsidP="003E7B9E">
      <w:pPr>
        <w:spacing w:after="0" w:line="240" w:lineRule="auto"/>
        <w:jc w:val="both"/>
        <w:rPr>
          <w:rFonts w:ascii="Times New Roman" w:hAnsi="Times New Roman" w:cs="Times New Roman"/>
          <w:sz w:val="24"/>
          <w:szCs w:val="24"/>
        </w:rPr>
      </w:pPr>
    </w:p>
    <w:p w:rsidR="003E7B9E" w:rsidRDefault="003E7B9E" w:rsidP="003E7B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Türkiye Sözleşme’yi bir Deklarasyon ile kabul etmiş, daha sonra da 1967 Protokolü’ne önceki Deklarasyonu’nda yer alan coğrafi sınırlama, geçerli olmak üzere katılmıştır. Bunun anlamı, </w:t>
      </w:r>
      <w:r>
        <w:rPr>
          <w:rFonts w:ascii="Times New Roman" w:hAnsi="Times New Roman" w:cs="Times New Roman"/>
        </w:rPr>
        <w:t xml:space="preserve">Türkiye’nin, 1951 Sözleşmesi’nde yer verilen tarih sınırlaması olmaksızın, Avrupa’da meydana gelen olaylara dayalı olarak ırk, din, milliyet, sosyal bir gruba mensubiyet veya siyasi düşünceleri nedeniyle, baskı ve zulüm altında olup, iltica talebinde bulunan kişilere, mülteci statüsü tanıma bakımından uluslararası hukuk yönünden yükümlülük altına girmiş bulunmasıdır. Buna karşılık, </w:t>
      </w:r>
      <w:r>
        <w:rPr>
          <w:rFonts w:ascii="Times New Roman" w:hAnsi="Times New Roman" w:cs="Times New Roman"/>
          <w:sz w:val="24"/>
          <w:szCs w:val="24"/>
        </w:rPr>
        <w:t xml:space="preserve">Avrupa dışında meydana gelen olaylar nedeniyle, iltica talebinde bulunan kişilere, mülteci statüsü verilmesi konusunda herhangi bir şekilde uluslararası bir yükümlülük altına girmemiş olmasıdır. </w:t>
      </w:r>
    </w:p>
    <w:p w:rsidR="003E7B9E" w:rsidRDefault="003E7B9E" w:rsidP="003E7B9E">
      <w:pPr>
        <w:spacing w:after="0" w:line="240" w:lineRule="auto"/>
        <w:ind w:firstLine="708"/>
        <w:jc w:val="both"/>
        <w:rPr>
          <w:rFonts w:ascii="Times New Roman" w:hAnsi="Times New Roman" w:cs="Times New Roman"/>
          <w:sz w:val="24"/>
          <w:szCs w:val="24"/>
        </w:rPr>
      </w:pPr>
    </w:p>
    <w:p w:rsidR="003E7B9E" w:rsidRDefault="003E7B9E" w:rsidP="003E7B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Dolayısıyla, 1951 Sözleşmesi’ndeki şartları taşıyan ve Avrupa ülkelerinden, Türkiye’ye yasal yollarla veya kaçak olarak girdikten sonra, Türk yetkili makamlarına başvuruda bulunan vatansız kişiler de dahil olmak üzere, bir vatandaşlığa sahip olan kişiler, kendilerine mülteci statüsü verilene kadar, sığınmacı statüsünü taşırlar, verildikten sonra ise mülteci, statüsüne sahip olurlar. Sığınma fiili bir durumu, mültecilik ise yasal bir statüyü ifade etmektedir. Ancak, 1951 Sözleşmesi bağlamında coğrafi sınırlama nedeniyle, Suriye’den bu </w:t>
      </w:r>
      <w:r>
        <w:rPr>
          <w:rFonts w:ascii="Times New Roman" w:hAnsi="Times New Roman" w:cs="Times New Roman"/>
          <w:sz w:val="24"/>
          <w:szCs w:val="24"/>
        </w:rPr>
        <w:lastRenderedPageBreak/>
        <w:t>şekilde Türkiye’ye gelen kişilere, sığınmacı veya mülteci statüsü tanınması ve verilmesi mümkün değildir.</w:t>
      </w:r>
    </w:p>
    <w:p w:rsidR="003E7B9E" w:rsidRDefault="003E7B9E" w:rsidP="003E7B9E">
      <w:pPr>
        <w:spacing w:after="0" w:line="240" w:lineRule="auto"/>
        <w:ind w:firstLine="708"/>
        <w:jc w:val="both"/>
        <w:rPr>
          <w:rFonts w:ascii="Times New Roman" w:hAnsi="Times New Roman" w:cs="Times New Roman"/>
          <w:sz w:val="24"/>
          <w:szCs w:val="24"/>
        </w:rPr>
      </w:pPr>
    </w:p>
    <w:p w:rsidR="003E7B9E" w:rsidRDefault="003E7B9E" w:rsidP="003E7B9E">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6458 Sayılı Yabancılar ve Uluslararası Koruma Kanunu da, 1951 Sözleşmesi ile kabul ettiğimiz mülteci statüsünün verilmesi ile ilgili sınırlamayı aynen kabul etmiş ve 61 nci maddesinde, </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Avrupa ülkelerinde meydana gelen olaylar nedeniyle; ırkı, dini, tabiiyeti, belli bir toplumsal gruba mensubiyeti veya siyasi düşüncelerinden dolayı zulme uğrayacağından haklı sebeplerle korktuğu için vatandaşı olduğu ülkenin dışında bulunan ve bu ülkenin korumasından yararlanamayan ya da söz konusu korku nedeniyle yararlanmak istemeyen yabancıya veya bu tür olaylar sonucu önceden yaşadığı ikamet ülkesinin dışında bulunan, oraya dönemeyen veya söz konusu korku nedeniyle dönmek istemeyen vatansız kişiye statü belirleme işlemleri sonrasında mülteci statüsü verilir.”</w:t>
      </w:r>
      <w:r>
        <w:rPr>
          <w:rFonts w:ascii="Times New Roman" w:eastAsia="Times New Roman" w:hAnsi="Times New Roman" w:cs="Times New Roman"/>
          <w:color w:val="000000"/>
          <w:sz w:val="24"/>
          <w:szCs w:val="24"/>
        </w:rPr>
        <w:t xml:space="preserve"> hükmüne yer verilmiştir. Bu hükümden de anlaşılacağı üzere, Suriye’den gelen kişilere mülteci statüsü verilememektedir.</w:t>
      </w:r>
    </w:p>
    <w:p w:rsidR="003E7B9E" w:rsidRDefault="003E7B9E" w:rsidP="003E7B9E">
      <w:pPr>
        <w:spacing w:after="0" w:line="240" w:lineRule="auto"/>
        <w:jc w:val="both"/>
        <w:rPr>
          <w:rFonts w:ascii="Times New Roman" w:hAnsi="Times New Roman" w:cs="Times New Roman"/>
          <w:b/>
          <w:sz w:val="24"/>
          <w:szCs w:val="24"/>
        </w:rPr>
      </w:pPr>
    </w:p>
    <w:p w:rsidR="003E7B9E" w:rsidRDefault="003E7B9E" w:rsidP="003E7B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1.3.ŞARTLI MÜLTECİ, İKİNCİL KORUMA</w:t>
      </w:r>
    </w:p>
    <w:p w:rsidR="003E7B9E" w:rsidRDefault="003E7B9E" w:rsidP="003E7B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Mülteci hukukuna göre, bir ülkeden diğer bir ülkeye kaçmak zorunda kalan </w:t>
      </w:r>
      <w:r>
        <w:rPr>
          <w:rFonts w:ascii="Times New Roman" w:hAnsi="Times New Roman" w:cs="Times New Roman"/>
          <w:i/>
          <w:sz w:val="24"/>
          <w:szCs w:val="24"/>
        </w:rPr>
        <w:t>yabancı</w:t>
      </w:r>
      <w:r w:rsidR="00153602">
        <w:rPr>
          <w:rFonts w:ascii="Times New Roman" w:hAnsi="Times New Roman" w:cs="Times New Roman"/>
          <w:i/>
          <w:sz w:val="24"/>
          <w:szCs w:val="24"/>
        </w:rPr>
        <w:t xml:space="preserve"> </w:t>
      </w:r>
      <w:r>
        <w:rPr>
          <w:rFonts w:ascii="Times New Roman" w:hAnsi="Times New Roman" w:cs="Times New Roman"/>
          <w:i/>
          <w:sz w:val="24"/>
          <w:szCs w:val="24"/>
        </w:rPr>
        <w:t>kişilerin-alianege</w:t>
      </w:r>
      <w:r>
        <w:rPr>
          <w:rFonts w:ascii="Times New Roman" w:hAnsi="Times New Roman" w:cs="Times New Roman"/>
          <w:sz w:val="24"/>
          <w:szCs w:val="24"/>
        </w:rPr>
        <w:t xml:space="preserve"> statülerinin belirlenmesi iki yöntemle gerçekleştirilmektedir. Bunlardan birincisi, bireysel olarak gelen ve başvuran kişilere uygulanan </w:t>
      </w:r>
      <w:r>
        <w:rPr>
          <w:rFonts w:ascii="Times New Roman" w:hAnsi="Times New Roman" w:cs="Times New Roman"/>
          <w:i/>
          <w:sz w:val="24"/>
          <w:szCs w:val="24"/>
        </w:rPr>
        <w:t>yüz yüze-face toface</w:t>
      </w:r>
      <w:r>
        <w:rPr>
          <w:rFonts w:ascii="Times New Roman" w:hAnsi="Times New Roman" w:cs="Times New Roman"/>
          <w:sz w:val="24"/>
          <w:szCs w:val="24"/>
        </w:rPr>
        <w:t xml:space="preserve"> yöntemidir. İkincisi ise, yoğun nüfus hareketleri olarak adlandırılan çok sayıda yabancı kişinin sınırlara gelmesi karşısında uygulanan </w:t>
      </w:r>
      <w:r>
        <w:rPr>
          <w:rFonts w:ascii="Times New Roman" w:hAnsi="Times New Roman" w:cs="Times New Roman"/>
          <w:i/>
          <w:sz w:val="24"/>
          <w:szCs w:val="24"/>
        </w:rPr>
        <w:t>grup belirlemesi-group determination</w:t>
      </w:r>
      <w:r>
        <w:rPr>
          <w:rFonts w:ascii="Times New Roman" w:hAnsi="Times New Roman" w:cs="Times New Roman"/>
          <w:sz w:val="24"/>
          <w:szCs w:val="24"/>
        </w:rPr>
        <w:t xml:space="preserve"> yöntemidir. Ancak, grup belirlemesi yönteminde kabul edilenlerin tümünün, gerçekten baskı ve zulüm altında olan kişiler olduklarını tespit etmek mümkün değildir. Bu nedenle, bu gruplar içinde özellikle teröristlerin, silahlı kişilerin, göçmen kaçakçılığı veya insan ticareti veya değişik kaçakçılık faaliyetlerinde bulunan veya aranan suçlu kişilerin olması ve sınırlardan içeri rahatça girebilmeleri ve daha sonra da ülke içinde eylemlerine devam etmeleri mümkün olabilmektedir.  Zira, Suriye’den kitlesel olarak Türkiye’ye gelenler olduğu için, bu kişilerin sadece grup belirlemesi yapılması zorunludur. Bu yönteme göre, kişilerin Suriye’den Türkiye’ye gelmiş olmaları, onlara tanınacak statü için yeterlidir. </w:t>
      </w:r>
    </w:p>
    <w:p w:rsidR="003E7B9E" w:rsidRDefault="003E7B9E" w:rsidP="003E7B9E">
      <w:pPr>
        <w:spacing w:after="0" w:line="240" w:lineRule="auto"/>
        <w:ind w:firstLine="709"/>
        <w:jc w:val="both"/>
        <w:rPr>
          <w:rFonts w:ascii="Times New Roman" w:hAnsi="Times New Roman" w:cs="Times New Roman"/>
          <w:sz w:val="24"/>
          <w:szCs w:val="24"/>
        </w:rPr>
      </w:pPr>
    </w:p>
    <w:p w:rsidR="003E7B9E" w:rsidRDefault="003E7B9E" w:rsidP="003E7B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durumda, Avrupa dışındaki ülkelerden, örneğin Suriye’den Türkiye’ye gelen kişilerin statüsü ne olacaktır. Bu boşluğu doldurmak amacıyla, bu gibi kişilerle ilgili olarak, 6458 Sayılı Kanun’da </w:t>
      </w:r>
      <w:r>
        <w:rPr>
          <w:rFonts w:ascii="Times New Roman" w:hAnsi="Times New Roman" w:cs="Times New Roman"/>
          <w:i/>
          <w:sz w:val="24"/>
          <w:szCs w:val="24"/>
        </w:rPr>
        <w:t>Şartlı Mülteci</w:t>
      </w:r>
      <w:r>
        <w:rPr>
          <w:rFonts w:ascii="Times New Roman" w:hAnsi="Times New Roman" w:cs="Times New Roman"/>
          <w:sz w:val="24"/>
          <w:szCs w:val="24"/>
        </w:rPr>
        <w:t xml:space="preserve"> ve </w:t>
      </w:r>
      <w:r>
        <w:rPr>
          <w:rFonts w:ascii="Times New Roman" w:hAnsi="Times New Roman" w:cs="Times New Roman"/>
          <w:i/>
          <w:sz w:val="24"/>
          <w:szCs w:val="24"/>
        </w:rPr>
        <w:t xml:space="preserve">İkincil Koruma </w:t>
      </w:r>
      <w:r>
        <w:rPr>
          <w:rFonts w:ascii="Times New Roman" w:hAnsi="Times New Roman" w:cs="Times New Roman"/>
          <w:sz w:val="24"/>
          <w:szCs w:val="24"/>
        </w:rPr>
        <w:t>şeklinde iki farklı statü hükmüne yer verilmiştir.</w:t>
      </w:r>
    </w:p>
    <w:p w:rsidR="003E7B9E" w:rsidRDefault="003E7B9E" w:rsidP="003E7B9E">
      <w:pPr>
        <w:spacing w:after="0" w:line="240" w:lineRule="auto"/>
        <w:ind w:firstLine="567"/>
        <w:jc w:val="both"/>
        <w:rPr>
          <w:rFonts w:ascii="Times New Roman" w:eastAsia="Times New Roman" w:hAnsi="Times New Roman" w:cs="Times New Roman"/>
          <w:b/>
          <w:bCs/>
          <w:color w:val="000000"/>
          <w:sz w:val="24"/>
          <w:szCs w:val="24"/>
        </w:rPr>
      </w:pPr>
    </w:p>
    <w:p w:rsidR="003E7B9E" w:rsidRDefault="003E7B9E" w:rsidP="003E7B9E">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Anılan Kanunun 62 nci maddesinde Şartlı Mültecinin tanımı, “</w:t>
      </w:r>
      <w:r>
        <w:rPr>
          <w:rFonts w:ascii="Times New Roman" w:eastAsia="Times New Roman" w:hAnsi="Times New Roman" w:cs="Times New Roman"/>
          <w:i/>
          <w:color w:val="000000"/>
          <w:sz w:val="24"/>
          <w:szCs w:val="24"/>
        </w:rPr>
        <w:t>Avrupa ülkeleri dışında meydana gelen olaylar sebebiyle; ırkı, dini, tabiiyeti, belli bir toplumsal gruba mensubiyeti veya siyasi düşüncelerinden dolayı zulme uğrayacağından haklı sebeplerle korktuğu için vatandaşı olduğu ülkenin dışında bulunan ve bu ülkenin korumasından yararlanamayan, ya da söz konusu korku nedeniyle yararlanmak istemeyen yabancıya veya bu tür olaylar sonucu önceden yaşadığı ikamet ülkesinin dışında bulunan, oraya dönemeyen veya söz konusu korku nedeniyle dönmek istemeyen vatansız kişiye, statü belirleme işlemleri sonrasında şartlı mülteci statüsü verilir.”</w:t>
      </w:r>
      <w:r>
        <w:rPr>
          <w:rFonts w:ascii="Times New Roman" w:eastAsia="Times New Roman" w:hAnsi="Times New Roman" w:cs="Times New Roman"/>
          <w:color w:val="000000"/>
          <w:sz w:val="24"/>
          <w:szCs w:val="24"/>
        </w:rPr>
        <w:t xml:space="preserve"> şeklinde yapılmıştır. </w:t>
      </w:r>
    </w:p>
    <w:p w:rsidR="003E7B9E" w:rsidRDefault="003E7B9E" w:rsidP="003E7B9E">
      <w:pPr>
        <w:spacing w:after="0" w:line="240" w:lineRule="auto"/>
        <w:ind w:firstLine="567"/>
        <w:jc w:val="both"/>
        <w:rPr>
          <w:rFonts w:ascii="Times New Roman" w:eastAsia="Times New Roman" w:hAnsi="Times New Roman" w:cs="Times New Roman"/>
          <w:color w:val="000000"/>
          <w:sz w:val="24"/>
          <w:szCs w:val="24"/>
        </w:rPr>
      </w:pPr>
    </w:p>
    <w:p w:rsidR="003E7B9E" w:rsidRDefault="003E7B9E" w:rsidP="003E7B9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Bu hüküm karşısında, Suriye’den Türkiye’ye gelen kişilere </w:t>
      </w:r>
      <w:r>
        <w:rPr>
          <w:rFonts w:ascii="Times New Roman" w:eastAsia="Times New Roman" w:hAnsi="Times New Roman" w:cs="Times New Roman"/>
          <w:i/>
          <w:color w:val="000000"/>
          <w:sz w:val="24"/>
          <w:szCs w:val="24"/>
        </w:rPr>
        <w:t>Şartlı Mülteci Statüsü</w:t>
      </w:r>
      <w:r>
        <w:rPr>
          <w:rFonts w:ascii="Times New Roman" w:eastAsia="Times New Roman" w:hAnsi="Times New Roman" w:cs="Times New Roman"/>
          <w:color w:val="000000"/>
          <w:sz w:val="24"/>
          <w:szCs w:val="24"/>
        </w:rPr>
        <w:t xml:space="preserve"> verilebilir. Bu kişiler, üçüncü bir ülkeye yerleştirilinceye kadar, Türkiye’de kalmalarına izin verilir.</w:t>
      </w:r>
    </w:p>
    <w:p w:rsidR="003E7B9E" w:rsidRDefault="003E7B9E" w:rsidP="003E7B9E">
      <w:pPr>
        <w:spacing w:after="0" w:line="240" w:lineRule="auto"/>
        <w:ind w:firstLine="709"/>
        <w:jc w:val="both"/>
        <w:rPr>
          <w:rFonts w:ascii="Times New Roman" w:hAnsi="Times New Roman" w:cs="Times New Roman"/>
          <w:sz w:val="24"/>
          <w:szCs w:val="24"/>
        </w:rPr>
      </w:pPr>
    </w:p>
    <w:p w:rsidR="003E7B9E" w:rsidRDefault="003E7B9E" w:rsidP="003E7B9E">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i/>
          <w:sz w:val="24"/>
          <w:szCs w:val="24"/>
        </w:rPr>
        <w:t>Şartlı Mülteci Statüsü</w:t>
      </w:r>
      <w:r>
        <w:rPr>
          <w:rFonts w:ascii="Times New Roman" w:hAnsi="Times New Roman" w:cs="Times New Roman"/>
          <w:sz w:val="24"/>
          <w:szCs w:val="24"/>
        </w:rPr>
        <w:t xml:space="preserve"> yanında, yabancılara tanınan bir statü de, </w:t>
      </w:r>
      <w:r>
        <w:rPr>
          <w:rFonts w:ascii="Times New Roman" w:hAnsi="Times New Roman" w:cs="Times New Roman"/>
          <w:i/>
          <w:sz w:val="24"/>
          <w:szCs w:val="24"/>
        </w:rPr>
        <w:t>İkincil Koruma</w:t>
      </w:r>
      <w:r>
        <w:rPr>
          <w:rFonts w:ascii="Times New Roman" w:hAnsi="Times New Roman" w:cs="Times New Roman"/>
          <w:sz w:val="24"/>
          <w:szCs w:val="24"/>
        </w:rPr>
        <w:t xml:space="preserve">’dır. </w:t>
      </w:r>
      <w:r>
        <w:rPr>
          <w:rFonts w:ascii="Times New Roman" w:hAnsi="Times New Roman" w:cs="Times New Roman"/>
          <w:i/>
          <w:sz w:val="24"/>
          <w:szCs w:val="24"/>
        </w:rPr>
        <w:t>İkincil Koruma</w:t>
      </w:r>
      <w:r>
        <w:rPr>
          <w:rFonts w:ascii="Times New Roman" w:hAnsi="Times New Roman" w:cs="Times New Roman"/>
          <w:sz w:val="24"/>
          <w:szCs w:val="24"/>
        </w:rPr>
        <w:t xml:space="preserve">, özellikle iç çatışma, iç savaş veya savaştan kaçan insanlara acil uluslararası koruma sağlanması amacıyla kabul edilmiş bir koruma sistemidir. </w:t>
      </w:r>
      <w:r>
        <w:rPr>
          <w:rFonts w:ascii="Times New Roman" w:hAnsi="Times New Roman" w:cs="Times New Roman"/>
          <w:i/>
          <w:sz w:val="24"/>
          <w:szCs w:val="24"/>
        </w:rPr>
        <w:t>İkincil Koruma</w:t>
      </w:r>
      <w:r>
        <w:rPr>
          <w:rFonts w:ascii="Times New Roman" w:hAnsi="Times New Roman" w:cs="Times New Roman"/>
          <w:sz w:val="24"/>
          <w:szCs w:val="24"/>
        </w:rPr>
        <w:t xml:space="preserve">’da temel </w:t>
      </w:r>
      <w:r>
        <w:rPr>
          <w:rFonts w:ascii="Times New Roman" w:hAnsi="Times New Roman" w:cs="Times New Roman"/>
          <w:sz w:val="24"/>
          <w:szCs w:val="24"/>
        </w:rPr>
        <w:lastRenderedPageBreak/>
        <w:t xml:space="preserve">amaç, kalıcı çözüme ulaşılabilmesini ve bu süreçte gerekli geçici koruma tedbirlerinin alınmasını sağlamaktır.6458 Sayılı Kanunun 63 ncü maddesi, </w:t>
      </w:r>
      <w:r>
        <w:rPr>
          <w:rFonts w:ascii="Times New Roman" w:hAnsi="Times New Roman" w:cs="Times New Roman"/>
          <w:i/>
          <w:sz w:val="24"/>
          <w:szCs w:val="24"/>
        </w:rPr>
        <w:t>m</w:t>
      </w:r>
      <w:r>
        <w:rPr>
          <w:rFonts w:ascii="Times New Roman" w:eastAsia="Times New Roman" w:hAnsi="Times New Roman" w:cs="Times New Roman"/>
          <w:i/>
          <w:color w:val="000000"/>
          <w:sz w:val="24"/>
          <w:szCs w:val="24"/>
        </w:rPr>
        <w:t>ülteci veya şartlı mülteci olarak nitelendirilemeyen, ancak menşe ülkesine veya ikamet ülkesine geri gönderildiği takdirde; ölüm cezasına mahkûm olacak veya ölüm cezası infaz edilecek; işkenceye, insanlık dışı ya da onur kırıcı ceza veya muameleye maruz kalacak; uluslararası veya ülke genelindeki silahlı çatışma durumlarında, ayrım gözetmeyen şiddet hareketleri nedeniyle şahsına yönelik ciddi tehditle karşılaşacak,</w:t>
      </w:r>
      <w:r w:rsidR="00EA6AF1">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olması nedeniyle, menşe ülkesinin veya ikamet ülkesinin korumasından yararlanamayan veya söz konusu tehdit nedeniyle yararlanmak istemeyen yabancı ya da vatansız kişiye, statü belirleme işlemleri sonrasında ikincil koruma statüsü verileceğini</w:t>
      </w:r>
      <w:r>
        <w:rPr>
          <w:rFonts w:ascii="Times New Roman" w:eastAsia="Times New Roman" w:hAnsi="Times New Roman" w:cs="Times New Roman"/>
          <w:color w:val="000000"/>
          <w:sz w:val="24"/>
          <w:szCs w:val="24"/>
        </w:rPr>
        <w:t xml:space="preserve"> öngörmektedir.</w:t>
      </w:r>
    </w:p>
    <w:p w:rsidR="003E7B9E" w:rsidRDefault="003E7B9E" w:rsidP="003E7B9E">
      <w:pPr>
        <w:spacing w:after="0" w:line="240" w:lineRule="auto"/>
        <w:ind w:firstLine="567"/>
        <w:jc w:val="both"/>
        <w:rPr>
          <w:rFonts w:ascii="Times New Roman" w:eastAsia="Times New Roman" w:hAnsi="Times New Roman" w:cs="Times New Roman"/>
          <w:color w:val="000000"/>
          <w:sz w:val="24"/>
          <w:szCs w:val="24"/>
        </w:rPr>
      </w:pPr>
    </w:p>
    <w:p w:rsidR="003E7B9E" w:rsidRDefault="003E7B9E" w:rsidP="003E7B9E">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Diğer taraftan, 6458 Sayılı Kanunun 91 nci maddesine göre, ülkesinden ayrılmaya zorlanmış, ayrıldığı ülkeye geri dönemeyen acil ve geçici koruma bulmak amacıyla, kitlesel olarak sınırlarımıza gelen yabancılara geçici koruma sağlanabilmektedir.</w:t>
      </w:r>
    </w:p>
    <w:p w:rsidR="003E7B9E" w:rsidRDefault="003E7B9E" w:rsidP="003E7B9E">
      <w:pPr>
        <w:spacing w:after="0" w:line="240" w:lineRule="auto"/>
        <w:ind w:firstLine="567"/>
        <w:jc w:val="both"/>
        <w:rPr>
          <w:rFonts w:ascii="Times New Roman" w:eastAsia="Times New Roman" w:hAnsi="Times New Roman" w:cs="Times New Roman"/>
          <w:color w:val="000000"/>
          <w:sz w:val="24"/>
          <w:szCs w:val="24"/>
        </w:rPr>
      </w:pPr>
    </w:p>
    <w:p w:rsidR="003E7B9E" w:rsidRDefault="003E7B9E" w:rsidP="003E7B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Ekim 2014 tarihli Geçici Koruma Yönetmeliği’nde de, geçici koruma statüsüne giren tüm yabancıların Türkiye’ye kabulleri, Türkiye’de kalışları, Türkiye’den çıkışlarında yapılacak işlemler ayrıntılı biçimde düzenlemektedir. Suriye vatandaşlarının, </w:t>
      </w:r>
      <w:r>
        <w:rPr>
          <w:rFonts w:ascii="Times New Roman" w:eastAsia="Times New Roman" w:hAnsi="Times New Roman" w:cs="Times New Roman"/>
          <w:i/>
          <w:color w:val="000000"/>
          <w:sz w:val="24"/>
          <w:szCs w:val="24"/>
        </w:rPr>
        <w:t xml:space="preserve">ülke genelinde meydana gelen silahlı çatışma durumu ve ayrım gözetmeyen şiddet hareketleri nedeniyle, şahıslarına yönelik ciddi tehditlerle karşılaşacak olmaları ve kitlesel bir biçimde Türkiye’ye gelmeleri nedeniyle, Geçici Koruma </w:t>
      </w:r>
      <w:r>
        <w:rPr>
          <w:rFonts w:ascii="Times New Roman" w:eastAsia="Times New Roman" w:hAnsi="Times New Roman" w:cs="Times New Roman"/>
          <w:color w:val="000000"/>
          <w:sz w:val="24"/>
          <w:szCs w:val="24"/>
        </w:rPr>
        <w:t>alınmaları için yeterli bir sebeptir.</w:t>
      </w: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Söz konusu hüküm uyarınca, Suriye’den gelenlere geçici koruma rejimi ile koruma sağlanmakta, bunların kabulleri ve kayıtları Türkiye Afet ve Acil Durum Yönetimi Başkanlığının-AFAD sorumluluğu altındaki kamp görevlilerince gerçekleştirilmektedir. Bu nedenle,</w:t>
      </w:r>
      <w:r w:rsidR="00153602">
        <w:rPr>
          <w:rFonts w:ascii="Times New Roman" w:hAnsi="Times New Roman" w:cs="Times New Roman"/>
          <w:sz w:val="24"/>
          <w:szCs w:val="24"/>
        </w:rPr>
        <w:t xml:space="preserve"> </w:t>
      </w:r>
      <w:r>
        <w:rPr>
          <w:rFonts w:ascii="Times New Roman" w:hAnsi="Times New Roman" w:cs="Times New Roman"/>
          <w:sz w:val="24"/>
          <w:szCs w:val="24"/>
        </w:rPr>
        <w:t>Birleşmiş Milletler Mülteciler Yüksek Komiserliği-UNHCR tarafından kayıt veya statü belirleme veya yerleştirme işlemleri gerçekleştirilmemektedir. Ancak, UNHCR; kayıt, ülke topraklarına erişim, belgelendirme, hukuki danışmanlık hizmeti ve kentlerde kalanların yönetimi gibi, koruma alanlarında teknik konularda tavsiyelerde bulunmaktadır. Maddi yardım alanında ise, UNHCR Türkiye Ofisi; battaniye, muşamba, mutfak setleri ve malzemeleri gibi, gıda dışı malzemeler sağlamakta, buna karşılık mali yardım sağlamamaktadır.</w:t>
      </w:r>
    </w:p>
    <w:p w:rsidR="003E7B9E" w:rsidRDefault="003E7B9E" w:rsidP="003E7B9E">
      <w:pPr>
        <w:autoSpaceDE w:val="0"/>
        <w:autoSpaceDN w:val="0"/>
        <w:adjustRightInd w:val="0"/>
        <w:spacing w:after="0" w:line="240" w:lineRule="auto"/>
        <w:jc w:val="both"/>
        <w:rPr>
          <w:rFonts w:ascii="Times New Roman" w:hAnsi="Times New Roman" w:cs="Times New Roman"/>
          <w:sz w:val="24"/>
          <w:szCs w:val="24"/>
        </w:rPr>
      </w:pP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Birleşmiş Milletler Mülteciler Yüksek Komiserliği Yürütme Komitesi’nin 1979 Yılında 30 ncu Oturumunda aldığı</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15 (XXX) Numaralı Kararı’nın“Sığınmacıların Kitle Halinde Bulundukları Durumlar” </w:t>
      </w:r>
      <w:r>
        <w:rPr>
          <w:rFonts w:ascii="Times New Roman" w:eastAsia="Times New Roman" w:hAnsi="Times New Roman" w:cs="Times New Roman"/>
          <w:i/>
          <w:sz w:val="24"/>
          <w:szCs w:val="24"/>
        </w:rPr>
        <w:t>başlıklı Bölümünün (f) ve (g) bentlerine göre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kitlesel bir akının söz konusu olduğu durumlarda, sığınma arayan kişilere en azından geçici sığınma hakkının her zaman verilmesi gerektiği, ancak coğrafi duruma veya başka herhangi bir nedene bağlı olarak geniş çaplı mülteci girişine sahne olan devletlerin, gerektiği gibi ve ilgili devletin talebi üzerine, eşit sorumluluk paylaşımı ilkesi doğrultusunda diğer devletlerden derhal yardım alması öngörülmektedir. Ayrıca, bu devletlerin, bireysel veya ortak olarak Birleşmiş Milletler Mülteciler Yüksek Komiseri veya diğer uluslararası organlar aracılığı ile gereken önlemleri alarak ilk sığınma ülkesinin yükünün eşit bir biçimde dağıtılmasının sağlanması gerekmektedir.</w:t>
      </w: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Ayrıca, </w:t>
      </w:r>
      <w:r>
        <w:rPr>
          <w:rFonts w:ascii="Times New Roman" w:hAnsi="Times New Roman" w:cs="Times New Roman"/>
          <w:i/>
          <w:sz w:val="24"/>
          <w:szCs w:val="24"/>
        </w:rPr>
        <w:t>14 Aralık 1967 Tarihli Ülkesel Sığınma Bildirisi</w:t>
      </w:r>
      <w:r>
        <w:rPr>
          <w:rFonts w:ascii="Times New Roman" w:hAnsi="Times New Roman" w:cs="Times New Roman"/>
          <w:sz w:val="24"/>
          <w:szCs w:val="24"/>
        </w:rPr>
        <w:t xml:space="preserve">’nin 5 </w:t>
      </w:r>
      <w:r>
        <w:rPr>
          <w:rFonts w:ascii="Times New Roman" w:hAnsi="Times New Roman" w:cs="Times New Roman"/>
          <w:color w:val="000000" w:themeColor="text1"/>
          <w:sz w:val="24"/>
          <w:szCs w:val="24"/>
        </w:rPr>
        <w:t>nci</w:t>
      </w:r>
      <w:r>
        <w:rPr>
          <w:rFonts w:ascii="Times New Roman" w:hAnsi="Times New Roman" w:cs="Times New Roman"/>
          <w:sz w:val="24"/>
          <w:szCs w:val="24"/>
        </w:rPr>
        <w:t xml:space="preserve"> maddesinde de, </w:t>
      </w:r>
      <w:r>
        <w:rPr>
          <w:rFonts w:ascii="Times New Roman" w:hAnsi="Times New Roman" w:cs="Times New Roman"/>
          <w:i/>
          <w:sz w:val="24"/>
          <w:szCs w:val="24"/>
        </w:rPr>
        <w:t>sığınma, tanıma veya tanımaya devam etme konularında bir devlet güçlüklerle karşılaşırsa, devletler teker teker ya da birlik olarak, ya da Birleşmiş Milletler aracılığıyla, uluslararası dayanışma esprisi içinde bu devletin yükünü azaltmak için gerekli tedbirleri alacaklardır,</w:t>
      </w:r>
      <w:r>
        <w:rPr>
          <w:rFonts w:ascii="Times New Roman" w:hAnsi="Times New Roman" w:cs="Times New Roman"/>
          <w:sz w:val="24"/>
          <w:szCs w:val="24"/>
        </w:rPr>
        <w:t xml:space="preserve"> şeklinde hüküm yer almaktadır.</w:t>
      </w:r>
    </w:p>
    <w:p w:rsidR="003E7B9E" w:rsidRDefault="003E7B9E" w:rsidP="003E7B9E">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 xml:space="preserve">Oysa, Türkiye, anılan Karar’da ve Bildiri’de yer verildiği gibi, bu kişileri geçici olarak ülkesine kabul etmiş </w:t>
      </w:r>
      <w:r>
        <w:rPr>
          <w:rFonts w:ascii="Times New Roman" w:hAnsi="Times New Roman" w:cs="Times New Roman"/>
          <w:sz w:val="24"/>
          <w:szCs w:val="24"/>
        </w:rPr>
        <w:t>ikincil koruma altına almış olup</w:t>
      </w:r>
      <w:r>
        <w:rPr>
          <w:rFonts w:ascii="Times New Roman" w:eastAsia="Times New Roman" w:hAnsi="Times New Roman" w:cs="Times New Roman"/>
          <w:sz w:val="24"/>
          <w:szCs w:val="24"/>
        </w:rPr>
        <w:t xml:space="preserve">, uluslararası toplumu sürekli bir biçimde yardıma çağırmasına ve </w:t>
      </w:r>
      <w:r>
        <w:rPr>
          <w:rFonts w:ascii="Times New Roman" w:hAnsi="Times New Roman" w:cs="Times New Roman"/>
          <w:sz w:val="24"/>
          <w:szCs w:val="24"/>
        </w:rPr>
        <w:t>e</w:t>
      </w:r>
      <w:r>
        <w:rPr>
          <w:rFonts w:ascii="Times New Roman" w:eastAsia="Times New Roman" w:hAnsi="Times New Roman" w:cs="Times New Roman"/>
          <w:sz w:val="24"/>
          <w:szCs w:val="24"/>
        </w:rPr>
        <w:t>şit sorumluluk paylaşımına davet etmesine karşın, gerekli yardım ve ilgiyi göreme</w:t>
      </w:r>
      <w:r>
        <w:rPr>
          <w:rFonts w:ascii="Times New Roman" w:hAnsi="Times New Roman" w:cs="Times New Roman"/>
          <w:sz w:val="24"/>
          <w:szCs w:val="24"/>
        </w:rPr>
        <w:t>mektedir.</w:t>
      </w:r>
    </w:p>
    <w:p w:rsidR="003E7B9E" w:rsidRDefault="003E7B9E" w:rsidP="003E7B9E">
      <w:pPr>
        <w:autoSpaceDE w:val="0"/>
        <w:autoSpaceDN w:val="0"/>
        <w:adjustRightInd w:val="0"/>
        <w:spacing w:after="0" w:line="240" w:lineRule="auto"/>
        <w:jc w:val="both"/>
        <w:rPr>
          <w:rFonts w:ascii="Times New Roman" w:hAnsi="Times New Roman" w:cs="Times New Roman"/>
          <w:b/>
          <w:sz w:val="24"/>
          <w:szCs w:val="24"/>
        </w:rPr>
      </w:pPr>
    </w:p>
    <w:p w:rsidR="003E7B9E" w:rsidRDefault="003E7B9E" w:rsidP="003E7B9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SINIRDA DURDURMA, SINIRDIŞI ETME, GÜVENLİ BÖLGE OLUŞTURULMASI VE VATANDAŞLIĞA ALINMA</w:t>
      </w:r>
    </w:p>
    <w:p w:rsidR="003E7B9E" w:rsidRDefault="003E7B9E" w:rsidP="003E7B9E">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UNHCR Yürütme Komitesi’nin 15 (XXX) Numaralı Kararı’nın,</w:t>
      </w:r>
      <w:r>
        <w:rPr>
          <w:rFonts w:ascii="Times New Roman" w:eastAsia="Times New Roman" w:hAnsi="Times New Roman" w:cs="Times New Roman"/>
          <w:i/>
          <w:sz w:val="24"/>
          <w:szCs w:val="24"/>
        </w:rPr>
        <w:t xml:space="preserve"> “Sığınmacıların Kitle Halinde Bulundukları Durumlar”</w:t>
      </w:r>
      <w:r>
        <w:rPr>
          <w:rFonts w:ascii="Times New Roman" w:eastAsia="Times New Roman" w:hAnsi="Times New Roman" w:cs="Times New Roman"/>
          <w:sz w:val="24"/>
          <w:szCs w:val="24"/>
        </w:rPr>
        <w:t xml:space="preserve"> başlıklı Bölümünün (f) ve (g) bentlerine göre, kitlesel bir akının söz konusu olduğu durumlarda, sığınma arayan kişilere en azından geçici sığınma hakkının her zaman verilmesi gerektiği belirtilmektedir. Ancak, Birleşmiş Milletler Sığınmaya İlişkin Bildiri’nin 3/1 ncü maddesinde, </w:t>
      </w:r>
      <w:r>
        <w:rPr>
          <w:rFonts w:ascii="Times New Roman" w:eastAsia="Times New Roman" w:hAnsi="Times New Roman" w:cs="Times New Roman"/>
          <w:i/>
          <w:sz w:val="24"/>
          <w:szCs w:val="24"/>
        </w:rPr>
        <w:t>hiç kimsenin sığınma hakkı aradığı ülkeye daha önce girmiş ise, sınır dışı edilme ya da zulme uğrayabileceği herhangi bir ülkeye zorla geri döndürülme gibi önlemlere maruz kalamayacağı belirtildikten sonra, 3/2 maddesinde bu ilkeye, olağanüstü nedenler olan ulusal güvenlik veya kitlesel nüfus akışı durumunda olduğu gibi, nüfusun korunması amacıyla istisna tanınabileceği</w:t>
      </w:r>
      <w:r>
        <w:rPr>
          <w:rFonts w:ascii="Times New Roman" w:eastAsia="Times New Roman" w:hAnsi="Times New Roman" w:cs="Times New Roman"/>
          <w:sz w:val="24"/>
          <w:szCs w:val="24"/>
        </w:rPr>
        <w:t xml:space="preserve"> vurgulanmaktadır. Suriye’den gelenlerin kitlesel nüfus akışı durumu ile ulusal güvenlik konusu göz önüne alındığında, kitlesel nüfus akışını sınırda durdurma hakkının doğduğundan söz edilebilir. </w:t>
      </w:r>
    </w:p>
    <w:p w:rsidR="003E7B9E" w:rsidRDefault="003E7B9E" w:rsidP="003E7B9E">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3E7B9E" w:rsidRDefault="003E7B9E" w:rsidP="003E7B9E">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Diğer taraftan, </w:t>
      </w:r>
      <w:r>
        <w:rPr>
          <w:rFonts w:ascii="Times New Roman" w:hAnsi="Times New Roman" w:cs="Times New Roman"/>
          <w:sz w:val="24"/>
          <w:szCs w:val="24"/>
        </w:rPr>
        <w:t xml:space="preserve">6458 Sayılı Kanun’un 4 ncü maddesinde de açıkça yer verildiği üzere, Suriye’den Türkiye’ye gelenlerin geri gönderme yasağı ilkesi çerçevesinde geri gönderilmeleri veya sınır dışı edilmeleri mümkün değildir. Ancak, 54 ncü maddeye göre, daha </w:t>
      </w:r>
      <w:r>
        <w:rPr>
          <w:rFonts w:ascii="Times New Roman" w:eastAsia="Times New Roman" w:hAnsi="Times New Roman" w:cs="Times New Roman"/>
          <w:sz w:val="24"/>
          <w:szCs w:val="24"/>
        </w:rPr>
        <w:t>önce Türkiye’ye kabul edilenler özellikle, terör örgütü yöneticisi, üyesi, destekleyicisi ve çıkar amaçlı suç örgütü yöneticisi, üyesi veya destekleyicisi, kamu düzeni veya kamu güvenliği ya da kamu sağlığı açısından tehdit oluşturuyorlar ise, sınır dışı edilebilirler. Bununla birlikte, 55 nci maddeye göre, sınır dışı edileceği ülkede ölüm cezasına, işkenceye, insanlık dışı ya da onur kırıcı ceza veya muameleye maruz kalacağı konusunda ciddi emareler mevcut ise, sınır dışı etme kararı alınmaz.</w:t>
      </w:r>
    </w:p>
    <w:p w:rsidR="003E7B9E" w:rsidRDefault="003E7B9E" w:rsidP="003E7B9E">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3E7B9E" w:rsidRDefault="003E7B9E" w:rsidP="003E7B9E">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Kitlesel nüfus akışının durdurulması ve Türkiye’nin sınır güvenliğinin korunması ile Suriye’den Türkiye’ye geçmek isteyenlerin ülkelerinde güven altına alınması açısından, Türkiye sınırlarına paralel belirli alanlarda, güvenli bölge oluşturulması konusu üzerinde de durulması gerekmektedir.</w:t>
      </w:r>
    </w:p>
    <w:p w:rsidR="003E7B9E" w:rsidRDefault="003E7B9E" w:rsidP="003E7B9E">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Güvenli bölge, iki hasım güç arasında çatışmaların engellenmesi için veyaiki devlet arasında hudut boyunca, askerde arındırılmış toprak parçası oluşturulması için kurulan bölge olarak tanımlanabilir.</w:t>
      </w:r>
      <w:r w:rsidR="00EA6AF1">
        <w:rPr>
          <w:rFonts w:ascii="Times New Roman" w:hAnsi="Times New Roman" w:cs="Times New Roman"/>
          <w:sz w:val="24"/>
          <w:szCs w:val="24"/>
        </w:rPr>
        <w:t xml:space="preserve"> </w:t>
      </w:r>
      <w:r>
        <w:rPr>
          <w:rFonts w:ascii="Times New Roman" w:hAnsi="Times New Roman" w:cs="Times New Roman"/>
          <w:sz w:val="24"/>
          <w:szCs w:val="24"/>
        </w:rPr>
        <w:t xml:space="preserve">Güvenli bölge oluşturulması, bir ülkenin veya bölgenin güvenliğini sağlamak üzere, bir çeşit ara bölge meydana getirilmesidir. Bu tür bir bölgenin oluşturabilmesi, genel olarak iki devlet veya tarafın anlaşmasına bağlıdır. Ayrıca, Birleşmiş Milletler Güvenlik Konseyi’nin kararı ile de oluşturulabilir. Bu bakımdan, Türkiye’nin Suriye topraklarında tek başına güvenli bir bölge oluşturması mümkün değildir. Bu tür bir girişim, uluslararası hukuka göre, Suriye’ye karşı saldırı ve işgal olarak nitelendirilir. Ayrıca, Birleşmiş Milletler Güvenlik Konseyi’nin kararıyla, daha önce Irak’ta oluşturulduğu gibi, Suriye topraklarında, yerel halkın güvenliğinin sağlanması ve Türkiye’ye yoğun nüfus hareketlerinin önlenmesi amacıyla, </w:t>
      </w:r>
      <w:r>
        <w:rPr>
          <w:rFonts w:ascii="Times New Roman" w:hAnsi="Times New Roman" w:cs="Times New Roman"/>
          <w:i/>
          <w:sz w:val="24"/>
          <w:szCs w:val="24"/>
        </w:rPr>
        <w:t xml:space="preserve">Uçuşa Yasak Bölge-Non Fly Zone </w:t>
      </w:r>
      <w:r>
        <w:rPr>
          <w:rFonts w:ascii="Times New Roman" w:hAnsi="Times New Roman" w:cs="Times New Roman"/>
          <w:sz w:val="24"/>
          <w:szCs w:val="24"/>
        </w:rPr>
        <w:t>oluşturulması da mümkündür.</w:t>
      </w: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p>
    <w:p w:rsidR="003E7B9E" w:rsidRDefault="003E7B9E" w:rsidP="003E7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Göç İdaresi Genel Müdürlüğünün 18-19 Aralık 2014 Tarihinde düzenlediği 1. Ulusal Göç Araştırmları Çalıştayı’nda, kayıtlı olarak birmilyon dörtyüzelli bin, ancak kayıtlı olmayanlarla birlikte </w:t>
      </w:r>
      <w:r w:rsidR="002B3780">
        <w:rPr>
          <w:rFonts w:ascii="Times New Roman" w:hAnsi="Times New Roman" w:cs="Times New Roman"/>
          <w:sz w:val="24"/>
          <w:szCs w:val="24"/>
        </w:rPr>
        <w:t>i</w:t>
      </w:r>
      <w:r>
        <w:rPr>
          <w:rFonts w:ascii="Times New Roman" w:hAnsi="Times New Roman" w:cs="Times New Roman"/>
          <w:sz w:val="24"/>
          <w:szCs w:val="24"/>
        </w:rPr>
        <w:t xml:space="preserve">kimilyonun üstünde olduğu iddia edilen, Suriye’den gelenlere, Türk </w:t>
      </w:r>
      <w:r>
        <w:rPr>
          <w:rFonts w:ascii="Times New Roman" w:hAnsi="Times New Roman" w:cs="Times New Roman"/>
          <w:sz w:val="24"/>
          <w:szCs w:val="24"/>
        </w:rPr>
        <w:lastRenderedPageBreak/>
        <w:t xml:space="preserve">vatandaşlığının verilmesi de kamuoyunda dillendirilen bir konudur. Ancak, Türk Vatandaşlığı Kanununun </w:t>
      </w:r>
      <w:bookmarkStart w:id="0" w:name="_GoBack"/>
      <w:bookmarkEnd w:id="0"/>
      <w:r>
        <w:rPr>
          <w:rFonts w:ascii="Times New Roman" w:hAnsi="Times New Roman" w:cs="Times New Roman"/>
          <w:sz w:val="24"/>
          <w:szCs w:val="24"/>
        </w:rPr>
        <w:t>11 nci maddesine göre, Türk vatandaşlığını kazanmak isteyen yabancıların, kendi milli kanunlarına göre ergin ve ayırt etme gücüne sahip olmaları; başvuru tarihinden geriye doğru Türkiye’de kesintisiz beş yıl ikamet etmeleri; Türkiye’de yerleşmeye karar verdiklerini davranışları ile teyit etmeleri; genel sağlık bakımından tehlike teşkil eden bir hastalığa düçar olmamaları; iyi ahlak sahibi olmaları; yeteri kadar Türkçe konuşabilmeleri; Türkiye’de kendisinin ve bakmakla yükümlü olduğu kimselerin geçimini sağlayacak gelire veya mesleğe sahip olmaları; milli güvenlik ve kamu düzeni bakımından engel teşkil edecek bir hallerinin bulunmaması gerekmektedir.</w:t>
      </w:r>
    </w:p>
    <w:p w:rsidR="003E7B9E" w:rsidRDefault="003E7B9E" w:rsidP="003E7B9E">
      <w:pPr>
        <w:autoSpaceDE w:val="0"/>
        <w:autoSpaceDN w:val="0"/>
        <w:adjustRightInd w:val="0"/>
        <w:spacing w:after="0" w:line="240" w:lineRule="auto"/>
        <w:jc w:val="both"/>
        <w:rPr>
          <w:rFonts w:ascii="Times New Roman" w:hAnsi="Times New Roman" w:cs="Times New Roman"/>
          <w:sz w:val="24"/>
          <w:szCs w:val="24"/>
        </w:rPr>
      </w:pPr>
    </w:p>
    <w:p w:rsidR="003E7B9E" w:rsidRDefault="003E7B9E" w:rsidP="003E7B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 koşullar gerçekleştiğinde, Suriye’den gelen yabancıların Türk vatandaşlığına alınmaları mümkün olmakla birlikte, idarenin yabancıları Türk vatandaşlığına alıp almama konusunda geniş takdir yetkisi bulunmaktadır. Ancak, Suriye’de olayların ve iç savaşın 2011 yılında patlak verdiği ve bu tarihten sonra, Suriye’den Türkiye’ye gelenlerin olduğu ve bunların da bir kısmının kamplarda, bir kısmının ise kaçak durumunda olduğu göz önüne alındığında, en azından başvuru tarihinden geriye doğru Türkiye’de kesintisiz beş yıl ikamet etme ve Türkiye’de yerleşmeye karar verdiklerini davranışları ile teyit etme koşullarını gerçekleştirmedikleri anlaşılmaktadır.Bu bakımdan, bu aşamada Suriye’den gelenlerin Türk vatandaşlığına alınmaları yasal yönden mümkün değildir.</w:t>
      </w:r>
    </w:p>
    <w:p w:rsidR="003E7B9E" w:rsidRDefault="003E7B9E" w:rsidP="003E7B9E">
      <w:pPr>
        <w:autoSpaceDE w:val="0"/>
        <w:autoSpaceDN w:val="0"/>
        <w:adjustRightInd w:val="0"/>
        <w:spacing w:after="0" w:line="240" w:lineRule="auto"/>
        <w:jc w:val="both"/>
        <w:rPr>
          <w:rFonts w:ascii="Times New Roman" w:hAnsi="Times New Roman" w:cs="Times New Roman"/>
          <w:sz w:val="24"/>
          <w:szCs w:val="24"/>
        </w:rPr>
      </w:pPr>
    </w:p>
    <w:p w:rsidR="003E7B9E" w:rsidRDefault="003E7B9E" w:rsidP="003E7B9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2.SONUÇ </w:t>
      </w:r>
    </w:p>
    <w:p w:rsidR="003E7B9E" w:rsidRDefault="003E7B9E" w:rsidP="003E7B9E">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Bu aşamada, Suriye’den gelenlerden kaçak durumunda bulunanların, mutlaka kayıt altına alınarak kamplara yerleştirilmeleri ve ikincil koruma altına alınmaları ve böylece denetimlerinin sağlanması, ilgili devlet ve uluslararası organlarla işbirliği yapılarak</w:t>
      </w:r>
      <w:r w:rsidR="002B3780">
        <w:rPr>
          <w:rFonts w:ascii="Times New Roman" w:hAnsi="Times New Roman" w:cs="Times New Roman"/>
          <w:sz w:val="24"/>
          <w:szCs w:val="24"/>
        </w:rPr>
        <w:t xml:space="preserve"> </w:t>
      </w:r>
      <w:r>
        <w:rPr>
          <w:rFonts w:ascii="Times New Roman" w:eastAsia="Times New Roman" w:hAnsi="Times New Roman" w:cs="Times New Roman"/>
          <w:sz w:val="24"/>
          <w:szCs w:val="24"/>
        </w:rPr>
        <w:t>Türkiye’nin yükünün eşit bir biçimde dağıtılması olanaklarının araştırılması ve güvenli bölge ile uçuşa yasak bölge oluşturulması konusu üzerinde durulması gerektiği düşünülmektedir.</w:t>
      </w:r>
    </w:p>
    <w:p w:rsidR="003E7B9E" w:rsidRDefault="003E7B9E" w:rsidP="003E7B9E">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3E7B9E" w:rsidRDefault="003E7B9E" w:rsidP="003E7B9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Diğer taraftan, bu kişilere uygulanacak gerek hakları gerekse yükümlülükleri içeren mevzuatın dağınık olması ve bu nedenle ortaya çıkan hatalı uygulamaların ortadan kaldırılması amacıyla, mevzuatın gözden geçirilerek birleştirilmesi</w:t>
      </w:r>
      <w:r w:rsidR="002B3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zorunlu</w:t>
      </w:r>
      <w:r w:rsidR="002B3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görülmektedir.</w:t>
      </w:r>
    </w:p>
    <w:p w:rsidR="003E7B9E" w:rsidRDefault="003E7B9E" w:rsidP="003E7B9E">
      <w:pPr>
        <w:autoSpaceDE w:val="0"/>
        <w:autoSpaceDN w:val="0"/>
        <w:adjustRightInd w:val="0"/>
        <w:spacing w:after="0" w:line="240" w:lineRule="auto"/>
        <w:jc w:val="both"/>
        <w:rPr>
          <w:rFonts w:ascii="Times New Roman" w:hAnsi="Times New Roman" w:cs="Times New Roman"/>
          <w:b/>
          <w:sz w:val="24"/>
          <w:szCs w:val="24"/>
        </w:rPr>
      </w:pPr>
    </w:p>
    <w:p w:rsidR="003E7B9E" w:rsidRDefault="003E7B9E" w:rsidP="003E7B9E">
      <w:pPr>
        <w:spacing w:after="0" w:line="240" w:lineRule="auto"/>
        <w:jc w:val="center"/>
        <w:rPr>
          <w:rFonts w:ascii="Times New Roman" w:hAnsi="Times New Roman" w:cs="Times New Roman"/>
          <w:sz w:val="24"/>
          <w:szCs w:val="24"/>
        </w:rPr>
      </w:pPr>
    </w:p>
    <w:p w:rsidR="003E7B9E" w:rsidRDefault="003E7B9E" w:rsidP="003E7B9E">
      <w:pPr>
        <w:spacing w:after="0" w:line="240" w:lineRule="auto"/>
        <w:ind w:left="4956" w:firstLine="708"/>
        <w:jc w:val="center"/>
        <w:rPr>
          <w:rFonts w:ascii="Times New Roman" w:hAnsi="Times New Roman" w:cs="Times New Roman"/>
          <w:sz w:val="24"/>
          <w:szCs w:val="24"/>
        </w:rPr>
      </w:pPr>
      <w:r>
        <w:rPr>
          <w:rFonts w:ascii="Times New Roman" w:hAnsi="Times New Roman" w:cs="Times New Roman"/>
          <w:sz w:val="24"/>
          <w:szCs w:val="24"/>
        </w:rPr>
        <w:t>Prof. Dr. M. Tevfik Odman</w:t>
      </w:r>
    </w:p>
    <w:p w:rsidR="003E7B9E" w:rsidRDefault="003E7B9E" w:rsidP="003E7B9E">
      <w:pPr>
        <w:autoSpaceDE w:val="0"/>
        <w:autoSpaceDN w:val="0"/>
        <w:adjustRightInd w:val="0"/>
        <w:spacing w:before="100" w:after="100" w:line="240" w:lineRule="auto"/>
        <w:rPr>
          <w:rFonts w:ascii="Times New Roman" w:hAnsi="Times New Roman" w:cs="Times New Roman"/>
          <w:sz w:val="24"/>
          <w:szCs w:val="24"/>
        </w:rPr>
      </w:pPr>
    </w:p>
    <w:p w:rsidR="0098076B" w:rsidRPr="003E7B9E" w:rsidRDefault="0098076B" w:rsidP="003E7B9E">
      <w:pPr>
        <w:rPr>
          <w:szCs w:val="24"/>
        </w:rPr>
      </w:pPr>
    </w:p>
    <w:sectPr w:rsidR="0098076B" w:rsidRPr="003E7B9E" w:rsidSect="00A73EBB">
      <w:footerReference w:type="defaul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E54" w:rsidRDefault="00716E54" w:rsidP="005F3CE2">
      <w:pPr>
        <w:spacing w:after="0" w:line="240" w:lineRule="auto"/>
      </w:pPr>
      <w:r>
        <w:separator/>
      </w:r>
    </w:p>
  </w:endnote>
  <w:endnote w:type="continuationSeparator" w:id="1">
    <w:p w:rsidR="00716E54" w:rsidRDefault="00716E54" w:rsidP="005F3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6219"/>
      <w:docPartObj>
        <w:docPartGallery w:val="Page Numbers (Bottom of Page)"/>
        <w:docPartUnique/>
      </w:docPartObj>
    </w:sdtPr>
    <w:sdtContent>
      <w:p w:rsidR="004B7604" w:rsidRDefault="00646585">
        <w:pPr>
          <w:pStyle w:val="Altbilgi"/>
          <w:jc w:val="center"/>
        </w:pPr>
        <w:r>
          <w:fldChar w:fldCharType="begin"/>
        </w:r>
        <w:r w:rsidR="00455376">
          <w:instrText xml:space="preserve"> PAGE   \* MERGEFORMAT </w:instrText>
        </w:r>
        <w:r>
          <w:fldChar w:fldCharType="separate"/>
        </w:r>
        <w:r w:rsidR="002B3780">
          <w:rPr>
            <w:noProof/>
          </w:rPr>
          <w:t>5</w:t>
        </w:r>
        <w:r>
          <w:rPr>
            <w:noProof/>
          </w:rPr>
          <w:fldChar w:fldCharType="end"/>
        </w:r>
      </w:p>
    </w:sdtContent>
  </w:sdt>
  <w:p w:rsidR="004B7604" w:rsidRDefault="004B760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E54" w:rsidRDefault="00716E54" w:rsidP="005F3CE2">
      <w:pPr>
        <w:spacing w:after="0" w:line="240" w:lineRule="auto"/>
      </w:pPr>
      <w:r>
        <w:separator/>
      </w:r>
    </w:p>
  </w:footnote>
  <w:footnote w:type="continuationSeparator" w:id="1">
    <w:p w:rsidR="00716E54" w:rsidRDefault="00716E54" w:rsidP="005F3C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7070"/>
    <w:multiLevelType w:val="hybridMultilevel"/>
    <w:tmpl w:val="5BE6109C"/>
    <w:lvl w:ilvl="0" w:tplc="3364F1F8">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95833BC"/>
    <w:multiLevelType w:val="hybridMultilevel"/>
    <w:tmpl w:val="4A087A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3C35B54"/>
    <w:multiLevelType w:val="hybridMultilevel"/>
    <w:tmpl w:val="B9B4DA24"/>
    <w:lvl w:ilvl="0" w:tplc="286C43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6C8498F"/>
    <w:multiLevelType w:val="hybridMultilevel"/>
    <w:tmpl w:val="BFA6B4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490634D"/>
    <w:multiLevelType w:val="hybridMultilevel"/>
    <w:tmpl w:val="4A087A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1"/>
  <w:defaultTabStop w:val="708"/>
  <w:hyphenationZone w:val="425"/>
  <w:characterSpacingControl w:val="doNotCompress"/>
  <w:footnotePr>
    <w:footnote w:id="0"/>
    <w:footnote w:id="1"/>
  </w:footnotePr>
  <w:endnotePr>
    <w:endnote w:id="0"/>
    <w:endnote w:id="1"/>
  </w:endnotePr>
  <w:compat>
    <w:useFELayout/>
  </w:compat>
  <w:rsids>
    <w:rsidRoot w:val="002F70C6"/>
    <w:rsid w:val="000351A5"/>
    <w:rsid w:val="000B7D94"/>
    <w:rsid w:val="000F3BC0"/>
    <w:rsid w:val="00142C67"/>
    <w:rsid w:val="00150A36"/>
    <w:rsid w:val="00153602"/>
    <w:rsid w:val="0017588F"/>
    <w:rsid w:val="00212BB7"/>
    <w:rsid w:val="00215F3C"/>
    <w:rsid w:val="00222CA6"/>
    <w:rsid w:val="0022322F"/>
    <w:rsid w:val="00233B74"/>
    <w:rsid w:val="00240DF2"/>
    <w:rsid w:val="002838FF"/>
    <w:rsid w:val="002A31D6"/>
    <w:rsid w:val="002B1960"/>
    <w:rsid w:val="002B3780"/>
    <w:rsid w:val="002E6496"/>
    <w:rsid w:val="002F70C6"/>
    <w:rsid w:val="003353A1"/>
    <w:rsid w:val="00382DE4"/>
    <w:rsid w:val="00385296"/>
    <w:rsid w:val="003E009C"/>
    <w:rsid w:val="003E7B9E"/>
    <w:rsid w:val="003F027A"/>
    <w:rsid w:val="00405F1C"/>
    <w:rsid w:val="0042259F"/>
    <w:rsid w:val="004263E1"/>
    <w:rsid w:val="00426E0A"/>
    <w:rsid w:val="00431FE8"/>
    <w:rsid w:val="00455376"/>
    <w:rsid w:val="004B7604"/>
    <w:rsid w:val="004D1DAB"/>
    <w:rsid w:val="004D5ABA"/>
    <w:rsid w:val="004D6F24"/>
    <w:rsid w:val="00503996"/>
    <w:rsid w:val="00514C9B"/>
    <w:rsid w:val="005242FD"/>
    <w:rsid w:val="00553FF9"/>
    <w:rsid w:val="00575CC6"/>
    <w:rsid w:val="00582EFC"/>
    <w:rsid w:val="005A427A"/>
    <w:rsid w:val="005A4B51"/>
    <w:rsid w:val="005E3CBA"/>
    <w:rsid w:val="005F3C4A"/>
    <w:rsid w:val="005F3CE2"/>
    <w:rsid w:val="005F6EAA"/>
    <w:rsid w:val="00603ADD"/>
    <w:rsid w:val="006061E7"/>
    <w:rsid w:val="006320B0"/>
    <w:rsid w:val="00646585"/>
    <w:rsid w:val="0065218E"/>
    <w:rsid w:val="006A2B82"/>
    <w:rsid w:val="006B15A5"/>
    <w:rsid w:val="006B7D1C"/>
    <w:rsid w:val="006E21CB"/>
    <w:rsid w:val="006F7297"/>
    <w:rsid w:val="007102A6"/>
    <w:rsid w:val="00716E54"/>
    <w:rsid w:val="00717B30"/>
    <w:rsid w:val="00726F1F"/>
    <w:rsid w:val="0076485F"/>
    <w:rsid w:val="00786924"/>
    <w:rsid w:val="007B094A"/>
    <w:rsid w:val="007C40EF"/>
    <w:rsid w:val="007C5EB7"/>
    <w:rsid w:val="007D6424"/>
    <w:rsid w:val="007D6E1E"/>
    <w:rsid w:val="007F1097"/>
    <w:rsid w:val="008009A6"/>
    <w:rsid w:val="00807278"/>
    <w:rsid w:val="0081187F"/>
    <w:rsid w:val="0081399B"/>
    <w:rsid w:val="00821B29"/>
    <w:rsid w:val="00845FA6"/>
    <w:rsid w:val="008461CF"/>
    <w:rsid w:val="0085591A"/>
    <w:rsid w:val="0085638F"/>
    <w:rsid w:val="008578DF"/>
    <w:rsid w:val="00892A95"/>
    <w:rsid w:val="008C3BC3"/>
    <w:rsid w:val="008D12CE"/>
    <w:rsid w:val="008D6899"/>
    <w:rsid w:val="00900E1B"/>
    <w:rsid w:val="00914465"/>
    <w:rsid w:val="009268DB"/>
    <w:rsid w:val="0095475D"/>
    <w:rsid w:val="0098076B"/>
    <w:rsid w:val="009C7DA6"/>
    <w:rsid w:val="009D2ED1"/>
    <w:rsid w:val="009E2B0B"/>
    <w:rsid w:val="00A354F9"/>
    <w:rsid w:val="00A47557"/>
    <w:rsid w:val="00A568F8"/>
    <w:rsid w:val="00A625E1"/>
    <w:rsid w:val="00A7346F"/>
    <w:rsid w:val="00A73EBB"/>
    <w:rsid w:val="00A8440B"/>
    <w:rsid w:val="00A95622"/>
    <w:rsid w:val="00AA1A18"/>
    <w:rsid w:val="00AB3FD3"/>
    <w:rsid w:val="00AD0D6C"/>
    <w:rsid w:val="00AE719B"/>
    <w:rsid w:val="00B16C1A"/>
    <w:rsid w:val="00B54C66"/>
    <w:rsid w:val="00B55E02"/>
    <w:rsid w:val="00B64149"/>
    <w:rsid w:val="00B87034"/>
    <w:rsid w:val="00B95BED"/>
    <w:rsid w:val="00BB1D10"/>
    <w:rsid w:val="00BB389B"/>
    <w:rsid w:val="00BC060C"/>
    <w:rsid w:val="00BC6ACC"/>
    <w:rsid w:val="00BD3A9F"/>
    <w:rsid w:val="00C50242"/>
    <w:rsid w:val="00C575AD"/>
    <w:rsid w:val="00C636E4"/>
    <w:rsid w:val="00C65469"/>
    <w:rsid w:val="00C707ED"/>
    <w:rsid w:val="00C74490"/>
    <w:rsid w:val="00C77F91"/>
    <w:rsid w:val="00CA1AF8"/>
    <w:rsid w:val="00CB73F2"/>
    <w:rsid w:val="00CC2FA6"/>
    <w:rsid w:val="00CE78FC"/>
    <w:rsid w:val="00D0398F"/>
    <w:rsid w:val="00D074AA"/>
    <w:rsid w:val="00D1574D"/>
    <w:rsid w:val="00D15DAD"/>
    <w:rsid w:val="00D21EDB"/>
    <w:rsid w:val="00D22245"/>
    <w:rsid w:val="00D561CD"/>
    <w:rsid w:val="00D57847"/>
    <w:rsid w:val="00D96688"/>
    <w:rsid w:val="00DB0888"/>
    <w:rsid w:val="00DD1F00"/>
    <w:rsid w:val="00E11015"/>
    <w:rsid w:val="00E33E34"/>
    <w:rsid w:val="00E504B1"/>
    <w:rsid w:val="00E831FE"/>
    <w:rsid w:val="00E90A1B"/>
    <w:rsid w:val="00EA6AF1"/>
    <w:rsid w:val="00F11275"/>
    <w:rsid w:val="00F34AE4"/>
    <w:rsid w:val="00F374B4"/>
    <w:rsid w:val="00F37E5B"/>
    <w:rsid w:val="00F53397"/>
    <w:rsid w:val="00FB4F78"/>
    <w:rsid w:val="00FF0F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F3CE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F3CE2"/>
  </w:style>
  <w:style w:type="paragraph" w:styleId="Altbilgi">
    <w:name w:val="footer"/>
    <w:basedOn w:val="Normal"/>
    <w:link w:val="AltbilgiChar"/>
    <w:uiPriority w:val="99"/>
    <w:unhideWhenUsed/>
    <w:rsid w:val="005F3C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3CE2"/>
  </w:style>
  <w:style w:type="paragraph" w:customStyle="1" w:styleId="H2">
    <w:name w:val="H2"/>
    <w:basedOn w:val="Normal"/>
    <w:next w:val="Normal"/>
    <w:uiPriority w:val="99"/>
    <w:rsid w:val="006320B0"/>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styleId="NormalWeb">
    <w:name w:val="Normal (Web)"/>
    <w:basedOn w:val="Normal"/>
    <w:uiPriority w:val="99"/>
    <w:unhideWhenUsed/>
    <w:rsid w:val="00CC2FA6"/>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basedOn w:val="Normal"/>
    <w:uiPriority w:val="1"/>
    <w:qFormat/>
    <w:rsid w:val="0076485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A95622"/>
    <w:rPr>
      <w:strike w:val="0"/>
      <w:dstrike w:val="0"/>
      <w:color w:val="005580"/>
      <w:u w:val="none"/>
      <w:effect w:val="none"/>
    </w:rPr>
  </w:style>
  <w:style w:type="paragraph" w:customStyle="1" w:styleId="detayspot">
    <w:name w:val="detayspot"/>
    <w:basedOn w:val="Normal"/>
    <w:rsid w:val="00A95622"/>
    <w:pPr>
      <w:spacing w:after="75" w:line="240" w:lineRule="auto"/>
    </w:pPr>
    <w:rPr>
      <w:rFonts w:ascii="Times New Roman" w:eastAsia="Times New Roman" w:hAnsi="Times New Roman" w:cs="Times New Roman"/>
      <w:sz w:val="24"/>
      <w:szCs w:val="24"/>
    </w:rPr>
  </w:style>
  <w:style w:type="paragraph" w:customStyle="1" w:styleId="DefinitionTerm">
    <w:name w:val="Definition Term"/>
    <w:basedOn w:val="Normal"/>
    <w:next w:val="DefinitionList"/>
    <w:uiPriority w:val="99"/>
    <w:rsid w:val="00C65469"/>
    <w:pPr>
      <w:autoSpaceDE w:val="0"/>
      <w:autoSpaceDN w:val="0"/>
      <w:adjustRightInd w:val="0"/>
      <w:spacing w:after="0" w:line="240" w:lineRule="auto"/>
    </w:pPr>
    <w:rPr>
      <w:rFonts w:ascii="Times New Roman" w:hAnsi="Times New Roman" w:cs="Times New Roman"/>
      <w:sz w:val="24"/>
      <w:szCs w:val="24"/>
    </w:rPr>
  </w:style>
  <w:style w:type="paragraph" w:customStyle="1" w:styleId="DefinitionList">
    <w:name w:val="Definition List"/>
    <w:basedOn w:val="Normal"/>
    <w:next w:val="DefinitionTerm"/>
    <w:uiPriority w:val="99"/>
    <w:rsid w:val="00C65469"/>
    <w:pPr>
      <w:autoSpaceDE w:val="0"/>
      <w:autoSpaceDN w:val="0"/>
      <w:adjustRightInd w:val="0"/>
      <w:spacing w:after="0" w:line="240" w:lineRule="auto"/>
      <w:ind w:left="360"/>
    </w:pPr>
    <w:rPr>
      <w:rFonts w:ascii="Times New Roman" w:hAnsi="Times New Roman" w:cs="Times New Roman"/>
      <w:sz w:val="24"/>
      <w:szCs w:val="24"/>
    </w:rPr>
  </w:style>
  <w:style w:type="character" w:customStyle="1" w:styleId="Definition">
    <w:name w:val="Definition"/>
    <w:uiPriority w:val="99"/>
    <w:rsid w:val="00C65469"/>
    <w:rPr>
      <w:i/>
      <w:iCs/>
    </w:rPr>
  </w:style>
  <w:style w:type="paragraph" w:customStyle="1" w:styleId="H1">
    <w:name w:val="H1"/>
    <w:basedOn w:val="Normal"/>
    <w:next w:val="Normal"/>
    <w:uiPriority w:val="99"/>
    <w:rsid w:val="00C6546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3">
    <w:name w:val="H3"/>
    <w:basedOn w:val="Normal"/>
    <w:next w:val="Normal"/>
    <w:uiPriority w:val="99"/>
    <w:rsid w:val="00C6546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H4">
    <w:name w:val="H4"/>
    <w:basedOn w:val="Normal"/>
    <w:next w:val="Normal"/>
    <w:uiPriority w:val="99"/>
    <w:rsid w:val="00C65469"/>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5">
    <w:name w:val="H5"/>
    <w:basedOn w:val="Normal"/>
    <w:next w:val="Normal"/>
    <w:uiPriority w:val="99"/>
    <w:rsid w:val="00C65469"/>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paragraph" w:customStyle="1" w:styleId="H6">
    <w:name w:val="H6"/>
    <w:basedOn w:val="Normal"/>
    <w:next w:val="Normal"/>
    <w:uiPriority w:val="99"/>
    <w:rsid w:val="00C65469"/>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customStyle="1" w:styleId="Address">
    <w:name w:val="Address"/>
    <w:basedOn w:val="Normal"/>
    <w:next w:val="Normal"/>
    <w:uiPriority w:val="99"/>
    <w:rsid w:val="00C65469"/>
    <w:pPr>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basedOn w:val="Normal"/>
    <w:uiPriority w:val="99"/>
    <w:rsid w:val="00C65469"/>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customStyle="1" w:styleId="CITE">
    <w:name w:val="CITE"/>
    <w:uiPriority w:val="99"/>
    <w:rsid w:val="00C65469"/>
    <w:rPr>
      <w:i/>
      <w:iCs/>
    </w:rPr>
  </w:style>
  <w:style w:type="character" w:customStyle="1" w:styleId="CODE">
    <w:name w:val="CODE"/>
    <w:uiPriority w:val="99"/>
    <w:rsid w:val="00C65469"/>
    <w:rPr>
      <w:rFonts w:ascii="Courier New" w:hAnsi="Courier New" w:cs="Courier New"/>
      <w:sz w:val="20"/>
      <w:szCs w:val="20"/>
    </w:rPr>
  </w:style>
  <w:style w:type="character" w:styleId="Vurgu">
    <w:name w:val="Emphasis"/>
    <w:basedOn w:val="VarsaylanParagrafYazTipi"/>
    <w:uiPriority w:val="20"/>
    <w:qFormat/>
    <w:rsid w:val="00C65469"/>
    <w:rPr>
      <w:i/>
      <w:iCs/>
    </w:rPr>
  </w:style>
  <w:style w:type="character" w:styleId="zlenenKpr">
    <w:name w:val="FollowedHyperlink"/>
    <w:basedOn w:val="VarsaylanParagrafYazTipi"/>
    <w:uiPriority w:val="99"/>
    <w:rsid w:val="00C65469"/>
    <w:rPr>
      <w:color w:val="800080"/>
      <w:u w:val="single"/>
    </w:rPr>
  </w:style>
  <w:style w:type="character" w:customStyle="1" w:styleId="Keyboard">
    <w:name w:val="Keyboard"/>
    <w:uiPriority w:val="99"/>
    <w:rsid w:val="00C65469"/>
    <w:rPr>
      <w:rFonts w:ascii="Courier New" w:hAnsi="Courier New" w:cs="Courier New"/>
      <w:b/>
      <w:bCs/>
      <w:sz w:val="20"/>
      <w:szCs w:val="20"/>
    </w:rPr>
  </w:style>
  <w:style w:type="paragraph" w:customStyle="1" w:styleId="Preformatted">
    <w:name w:val="Preformatted"/>
    <w:basedOn w:val="Normal"/>
    <w:uiPriority w:val="99"/>
    <w:rsid w:val="00C6546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sz w:val="20"/>
      <w:szCs w:val="20"/>
    </w:rPr>
  </w:style>
  <w:style w:type="paragraph" w:customStyle="1" w:styleId="z-BottomofForm">
    <w:name w:val="z-Bottom of Form"/>
    <w:next w:val="Normal"/>
    <w:hidden/>
    <w:uiPriority w:val="99"/>
    <w:rsid w:val="00C65469"/>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hidden/>
    <w:uiPriority w:val="99"/>
    <w:rsid w:val="00C65469"/>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Sample">
    <w:name w:val="Sample"/>
    <w:uiPriority w:val="99"/>
    <w:rsid w:val="00C65469"/>
    <w:rPr>
      <w:rFonts w:ascii="Courier New" w:hAnsi="Courier New" w:cs="Courier New"/>
    </w:rPr>
  </w:style>
  <w:style w:type="character" w:styleId="Gl">
    <w:name w:val="Strong"/>
    <w:basedOn w:val="VarsaylanParagrafYazTipi"/>
    <w:uiPriority w:val="99"/>
    <w:qFormat/>
    <w:rsid w:val="00C65469"/>
    <w:rPr>
      <w:b/>
      <w:bCs/>
    </w:rPr>
  </w:style>
  <w:style w:type="character" w:customStyle="1" w:styleId="Typewriter">
    <w:name w:val="Typewriter"/>
    <w:uiPriority w:val="99"/>
    <w:rsid w:val="00C65469"/>
    <w:rPr>
      <w:rFonts w:ascii="Courier New" w:hAnsi="Courier New" w:cs="Courier New"/>
      <w:sz w:val="20"/>
      <w:szCs w:val="20"/>
    </w:rPr>
  </w:style>
  <w:style w:type="character" w:customStyle="1" w:styleId="Variable">
    <w:name w:val="Variable"/>
    <w:uiPriority w:val="99"/>
    <w:rsid w:val="00C65469"/>
    <w:rPr>
      <w:i/>
      <w:iCs/>
    </w:rPr>
  </w:style>
  <w:style w:type="character" w:customStyle="1" w:styleId="HTMLMarkup">
    <w:name w:val="HTML Markup"/>
    <w:uiPriority w:val="99"/>
    <w:rsid w:val="00C65469"/>
    <w:rPr>
      <w:vanish/>
      <w:color w:val="FF0000"/>
    </w:rPr>
  </w:style>
  <w:style w:type="character" w:customStyle="1" w:styleId="Comment">
    <w:name w:val="Comment"/>
    <w:uiPriority w:val="99"/>
    <w:rsid w:val="00C65469"/>
    <w:rPr>
      <w:vanish/>
    </w:rPr>
  </w:style>
  <w:style w:type="paragraph" w:styleId="ListeParagraf">
    <w:name w:val="List Paragraph"/>
    <w:basedOn w:val="Normal"/>
    <w:uiPriority w:val="34"/>
    <w:qFormat/>
    <w:rsid w:val="00AA1A18"/>
    <w:pPr>
      <w:ind w:left="720"/>
      <w:contextualSpacing/>
    </w:pPr>
  </w:style>
  <w:style w:type="paragraph" w:styleId="DipnotMetni">
    <w:name w:val="footnote text"/>
    <w:basedOn w:val="Normal"/>
    <w:link w:val="DipnotMetniChar"/>
    <w:semiHidden/>
    <w:rsid w:val="00BB389B"/>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semiHidden/>
    <w:rsid w:val="00BB389B"/>
    <w:rPr>
      <w:rFonts w:ascii="Times New Roman" w:eastAsia="Times New Roman" w:hAnsi="Times New Roman" w:cs="Times New Roman"/>
      <w:sz w:val="20"/>
      <w:szCs w:val="20"/>
    </w:rPr>
  </w:style>
  <w:style w:type="character" w:styleId="DipnotBavurusu">
    <w:name w:val="footnote reference"/>
    <w:basedOn w:val="VarsaylanParagrafYazTipi"/>
    <w:semiHidden/>
    <w:rsid w:val="00BB389B"/>
    <w:rPr>
      <w:vertAlign w:val="superscript"/>
    </w:rPr>
  </w:style>
  <w:style w:type="paragraph" w:customStyle="1" w:styleId="textbodyblack">
    <w:name w:val="textbodyblack"/>
    <w:basedOn w:val="Normal"/>
    <w:rsid w:val="005242FD"/>
    <w:pPr>
      <w:spacing w:before="100" w:beforeAutospacing="1" w:after="100" w:afterAutospacing="1" w:line="360" w:lineRule="auto"/>
    </w:pPr>
    <w:rPr>
      <w:rFonts w:ascii="Verdana" w:eastAsia="Times New Roman" w:hAnsi="Verdana" w:cs="Times New Roman"/>
      <w:color w:val="000000"/>
      <w:sz w:val="19"/>
      <w:szCs w:val="19"/>
    </w:rPr>
  </w:style>
  <w:style w:type="character" w:customStyle="1" w:styleId="st1">
    <w:name w:val="st1"/>
    <w:basedOn w:val="VarsaylanParagrafYazTipi"/>
    <w:rsid w:val="005242FD"/>
  </w:style>
  <w:style w:type="paragraph" w:styleId="BalonMetni">
    <w:name w:val="Balloon Text"/>
    <w:basedOn w:val="Normal"/>
    <w:link w:val="BalonMetniChar"/>
    <w:uiPriority w:val="99"/>
    <w:semiHidden/>
    <w:unhideWhenUsed/>
    <w:rsid w:val="005A42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4037">
      <w:bodyDiv w:val="1"/>
      <w:marLeft w:val="0"/>
      <w:marRight w:val="0"/>
      <w:marTop w:val="100"/>
      <w:marBottom w:val="100"/>
      <w:divBdr>
        <w:top w:val="none" w:sz="0" w:space="0" w:color="auto"/>
        <w:left w:val="none" w:sz="0" w:space="0" w:color="auto"/>
        <w:bottom w:val="none" w:sz="0" w:space="0" w:color="auto"/>
        <w:right w:val="none" w:sz="0" w:space="0" w:color="auto"/>
      </w:divBdr>
      <w:divsChild>
        <w:div w:id="261455681">
          <w:marLeft w:val="0"/>
          <w:marRight w:val="0"/>
          <w:marTop w:val="0"/>
          <w:marBottom w:val="0"/>
          <w:divBdr>
            <w:top w:val="none" w:sz="0" w:space="0" w:color="auto"/>
            <w:left w:val="none" w:sz="0" w:space="0" w:color="auto"/>
            <w:bottom w:val="none" w:sz="0" w:space="0" w:color="auto"/>
            <w:right w:val="none" w:sz="0" w:space="0" w:color="auto"/>
          </w:divBdr>
          <w:divsChild>
            <w:div w:id="762605426">
              <w:marLeft w:val="0"/>
              <w:marRight w:val="0"/>
              <w:marTop w:val="0"/>
              <w:marBottom w:val="224"/>
              <w:divBdr>
                <w:top w:val="none" w:sz="0" w:space="0" w:color="auto"/>
                <w:left w:val="none" w:sz="0" w:space="0" w:color="auto"/>
                <w:bottom w:val="none" w:sz="0" w:space="0" w:color="auto"/>
                <w:right w:val="none" w:sz="0" w:space="0" w:color="auto"/>
              </w:divBdr>
              <w:divsChild>
                <w:div w:id="105463813">
                  <w:marLeft w:val="0"/>
                  <w:marRight w:val="0"/>
                  <w:marTop w:val="0"/>
                  <w:marBottom w:val="0"/>
                  <w:divBdr>
                    <w:top w:val="none" w:sz="0" w:space="0" w:color="auto"/>
                    <w:left w:val="none" w:sz="0" w:space="0" w:color="auto"/>
                    <w:bottom w:val="none" w:sz="0" w:space="0" w:color="auto"/>
                    <w:right w:val="none" w:sz="0" w:space="0" w:color="auto"/>
                  </w:divBdr>
                  <w:divsChild>
                    <w:div w:id="1380089822">
                      <w:marLeft w:val="0"/>
                      <w:marRight w:val="126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500443">
      <w:bodyDiv w:val="1"/>
      <w:marLeft w:val="0"/>
      <w:marRight w:val="0"/>
      <w:marTop w:val="0"/>
      <w:marBottom w:val="0"/>
      <w:divBdr>
        <w:top w:val="none" w:sz="0" w:space="0" w:color="auto"/>
        <w:left w:val="none" w:sz="0" w:space="0" w:color="auto"/>
        <w:bottom w:val="none" w:sz="0" w:space="0" w:color="auto"/>
        <w:right w:val="none" w:sz="0" w:space="0" w:color="auto"/>
      </w:divBdr>
      <w:divsChild>
        <w:div w:id="1851095222">
          <w:marLeft w:val="0"/>
          <w:marRight w:val="0"/>
          <w:marTop w:val="0"/>
          <w:marBottom w:val="224"/>
          <w:divBdr>
            <w:top w:val="none" w:sz="0" w:space="0" w:color="auto"/>
            <w:left w:val="none" w:sz="0" w:space="0" w:color="auto"/>
            <w:bottom w:val="none" w:sz="0" w:space="0" w:color="auto"/>
            <w:right w:val="none" w:sz="0" w:space="0" w:color="auto"/>
          </w:divBdr>
          <w:divsChild>
            <w:div w:id="1753768910">
              <w:marLeft w:val="-112"/>
              <w:marRight w:val="0"/>
              <w:marTop w:val="0"/>
              <w:marBottom w:val="0"/>
              <w:divBdr>
                <w:top w:val="none" w:sz="0" w:space="0" w:color="auto"/>
                <w:left w:val="none" w:sz="0" w:space="0" w:color="auto"/>
                <w:bottom w:val="none" w:sz="0" w:space="0" w:color="auto"/>
                <w:right w:val="none" w:sz="0" w:space="0" w:color="auto"/>
              </w:divBdr>
              <w:divsChild>
                <w:div w:id="442195183">
                  <w:marLeft w:val="0"/>
                  <w:marRight w:val="0"/>
                  <w:marTop w:val="0"/>
                  <w:marBottom w:val="0"/>
                  <w:divBdr>
                    <w:top w:val="none" w:sz="0" w:space="0" w:color="auto"/>
                    <w:left w:val="none" w:sz="0" w:space="0" w:color="auto"/>
                    <w:bottom w:val="none" w:sz="0" w:space="0" w:color="auto"/>
                    <w:right w:val="none" w:sz="0" w:space="0" w:color="auto"/>
                  </w:divBdr>
                  <w:divsChild>
                    <w:div w:id="1315647612">
                      <w:marLeft w:val="-112"/>
                      <w:marRight w:val="0"/>
                      <w:marTop w:val="0"/>
                      <w:marBottom w:val="0"/>
                      <w:divBdr>
                        <w:top w:val="none" w:sz="0" w:space="0" w:color="auto"/>
                        <w:left w:val="none" w:sz="0" w:space="0" w:color="auto"/>
                        <w:bottom w:val="none" w:sz="0" w:space="0" w:color="auto"/>
                        <w:right w:val="none" w:sz="0" w:space="0" w:color="auto"/>
                      </w:divBdr>
                      <w:divsChild>
                        <w:div w:id="1501847828">
                          <w:marLeft w:val="0"/>
                          <w:marRight w:val="0"/>
                          <w:marTop w:val="0"/>
                          <w:marBottom w:val="0"/>
                          <w:divBdr>
                            <w:top w:val="none" w:sz="0" w:space="0" w:color="auto"/>
                            <w:left w:val="none" w:sz="0" w:space="0" w:color="auto"/>
                            <w:bottom w:val="none" w:sz="0" w:space="0" w:color="auto"/>
                            <w:right w:val="none" w:sz="0" w:space="0" w:color="auto"/>
                          </w:divBdr>
                          <w:divsChild>
                            <w:div w:id="2139910968">
                              <w:marLeft w:val="0"/>
                              <w:marRight w:val="0"/>
                              <w:marTop w:val="0"/>
                              <w:marBottom w:val="0"/>
                              <w:divBdr>
                                <w:top w:val="none" w:sz="0" w:space="0" w:color="auto"/>
                                <w:left w:val="none" w:sz="0" w:space="0" w:color="auto"/>
                                <w:bottom w:val="none" w:sz="0" w:space="0" w:color="auto"/>
                                <w:right w:val="none" w:sz="0" w:space="0" w:color="auto"/>
                              </w:divBdr>
                              <w:divsChild>
                                <w:div w:id="1812556786">
                                  <w:marLeft w:val="0"/>
                                  <w:marRight w:val="0"/>
                                  <w:marTop w:val="0"/>
                                  <w:marBottom w:val="0"/>
                                  <w:divBdr>
                                    <w:top w:val="none" w:sz="0" w:space="0" w:color="auto"/>
                                    <w:left w:val="none" w:sz="0" w:space="0" w:color="auto"/>
                                    <w:bottom w:val="none" w:sz="0" w:space="0" w:color="auto"/>
                                    <w:right w:val="none" w:sz="0" w:space="0" w:color="auto"/>
                                  </w:divBdr>
                                </w:div>
                                <w:div w:id="1598756912">
                                  <w:marLeft w:val="0"/>
                                  <w:marRight w:val="0"/>
                                  <w:marTop w:val="0"/>
                                  <w:marBottom w:val="0"/>
                                  <w:divBdr>
                                    <w:top w:val="none" w:sz="0" w:space="0" w:color="auto"/>
                                    <w:left w:val="none" w:sz="0" w:space="0" w:color="auto"/>
                                    <w:bottom w:val="none" w:sz="0" w:space="0" w:color="auto"/>
                                    <w:right w:val="none" w:sz="0" w:space="0" w:color="auto"/>
                                  </w:divBdr>
                                  <w:divsChild>
                                    <w:div w:id="422411011">
                                      <w:marLeft w:val="0"/>
                                      <w:marRight w:val="0"/>
                                      <w:marTop w:val="0"/>
                                      <w:marBottom w:val="0"/>
                                      <w:divBdr>
                                        <w:top w:val="none" w:sz="0" w:space="0" w:color="auto"/>
                                        <w:left w:val="none" w:sz="0" w:space="0" w:color="auto"/>
                                        <w:bottom w:val="none" w:sz="0" w:space="0" w:color="auto"/>
                                        <w:right w:val="none" w:sz="0" w:space="0" w:color="auto"/>
                                      </w:divBdr>
                                      <w:divsChild>
                                        <w:div w:id="1527668337">
                                          <w:marLeft w:val="0"/>
                                          <w:marRight w:val="0"/>
                                          <w:marTop w:val="0"/>
                                          <w:marBottom w:val="0"/>
                                          <w:divBdr>
                                            <w:top w:val="none" w:sz="0" w:space="0" w:color="auto"/>
                                            <w:left w:val="none" w:sz="0" w:space="0" w:color="auto"/>
                                            <w:bottom w:val="none" w:sz="0" w:space="0" w:color="auto"/>
                                            <w:right w:val="none" w:sz="0" w:space="0" w:color="auto"/>
                                          </w:divBdr>
                                        </w:div>
                                        <w:div w:id="1062798123">
                                          <w:marLeft w:val="0"/>
                                          <w:marRight w:val="0"/>
                                          <w:marTop w:val="0"/>
                                          <w:marBottom w:val="0"/>
                                          <w:divBdr>
                                            <w:top w:val="none" w:sz="0" w:space="0" w:color="auto"/>
                                            <w:left w:val="none" w:sz="0" w:space="0" w:color="auto"/>
                                            <w:bottom w:val="none" w:sz="0" w:space="0" w:color="auto"/>
                                            <w:right w:val="none" w:sz="0" w:space="0" w:color="auto"/>
                                          </w:divBdr>
                                        </w:div>
                                        <w:div w:id="323824835">
                                          <w:marLeft w:val="0"/>
                                          <w:marRight w:val="0"/>
                                          <w:marTop w:val="0"/>
                                          <w:marBottom w:val="0"/>
                                          <w:divBdr>
                                            <w:top w:val="none" w:sz="0" w:space="0" w:color="auto"/>
                                            <w:left w:val="none" w:sz="0" w:space="0" w:color="auto"/>
                                            <w:bottom w:val="none" w:sz="0" w:space="0" w:color="auto"/>
                                            <w:right w:val="none" w:sz="0" w:space="0" w:color="auto"/>
                                          </w:divBdr>
                                        </w:div>
                                        <w:div w:id="1444111880">
                                          <w:marLeft w:val="0"/>
                                          <w:marRight w:val="0"/>
                                          <w:marTop w:val="0"/>
                                          <w:marBottom w:val="0"/>
                                          <w:divBdr>
                                            <w:top w:val="none" w:sz="0" w:space="0" w:color="auto"/>
                                            <w:left w:val="none" w:sz="0" w:space="0" w:color="auto"/>
                                            <w:bottom w:val="none" w:sz="0" w:space="0" w:color="auto"/>
                                            <w:right w:val="none" w:sz="0" w:space="0" w:color="auto"/>
                                          </w:divBdr>
                                        </w:div>
                                        <w:div w:id="2037733739">
                                          <w:marLeft w:val="0"/>
                                          <w:marRight w:val="0"/>
                                          <w:marTop w:val="0"/>
                                          <w:marBottom w:val="0"/>
                                          <w:divBdr>
                                            <w:top w:val="none" w:sz="0" w:space="0" w:color="auto"/>
                                            <w:left w:val="none" w:sz="0" w:space="0" w:color="auto"/>
                                            <w:bottom w:val="none" w:sz="0" w:space="0" w:color="auto"/>
                                            <w:right w:val="none" w:sz="0" w:space="0" w:color="auto"/>
                                          </w:divBdr>
                                        </w:div>
                                        <w:div w:id="109597162">
                                          <w:marLeft w:val="0"/>
                                          <w:marRight w:val="0"/>
                                          <w:marTop w:val="0"/>
                                          <w:marBottom w:val="0"/>
                                          <w:divBdr>
                                            <w:top w:val="none" w:sz="0" w:space="0" w:color="auto"/>
                                            <w:left w:val="none" w:sz="0" w:space="0" w:color="auto"/>
                                            <w:bottom w:val="none" w:sz="0" w:space="0" w:color="auto"/>
                                            <w:right w:val="none" w:sz="0" w:space="0" w:color="auto"/>
                                          </w:divBdr>
                                          <w:divsChild>
                                            <w:div w:id="188839135">
                                              <w:marLeft w:val="0"/>
                                              <w:marRight w:val="0"/>
                                              <w:marTop w:val="0"/>
                                              <w:marBottom w:val="0"/>
                                              <w:divBdr>
                                                <w:top w:val="none" w:sz="0" w:space="0" w:color="auto"/>
                                                <w:left w:val="none" w:sz="0" w:space="0" w:color="auto"/>
                                                <w:bottom w:val="none" w:sz="0" w:space="0" w:color="auto"/>
                                                <w:right w:val="none" w:sz="0" w:space="0" w:color="auto"/>
                                              </w:divBdr>
                                            </w:div>
                                            <w:div w:id="8361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634609">
      <w:bodyDiv w:val="1"/>
      <w:marLeft w:val="0"/>
      <w:marRight w:val="0"/>
      <w:marTop w:val="0"/>
      <w:marBottom w:val="0"/>
      <w:divBdr>
        <w:top w:val="none" w:sz="0" w:space="0" w:color="auto"/>
        <w:left w:val="none" w:sz="0" w:space="0" w:color="auto"/>
        <w:bottom w:val="none" w:sz="0" w:space="0" w:color="auto"/>
        <w:right w:val="none" w:sz="0" w:space="0" w:color="auto"/>
      </w:divBdr>
      <w:divsChild>
        <w:div w:id="1297637504">
          <w:marLeft w:val="0"/>
          <w:marRight w:val="0"/>
          <w:marTop w:val="0"/>
          <w:marBottom w:val="0"/>
          <w:divBdr>
            <w:top w:val="none" w:sz="0" w:space="0" w:color="auto"/>
            <w:left w:val="none" w:sz="0" w:space="0" w:color="auto"/>
            <w:bottom w:val="none" w:sz="0" w:space="0" w:color="auto"/>
            <w:right w:val="none" w:sz="0" w:space="0" w:color="auto"/>
          </w:divBdr>
          <w:divsChild>
            <w:div w:id="930701050">
              <w:marLeft w:val="0"/>
              <w:marRight w:val="0"/>
              <w:marTop w:val="0"/>
              <w:marBottom w:val="0"/>
              <w:divBdr>
                <w:top w:val="none" w:sz="0" w:space="0" w:color="auto"/>
                <w:left w:val="none" w:sz="0" w:space="0" w:color="auto"/>
                <w:bottom w:val="none" w:sz="0" w:space="0" w:color="auto"/>
                <w:right w:val="none" w:sz="0" w:space="0" w:color="auto"/>
              </w:divBdr>
              <w:divsChild>
                <w:div w:id="7319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2374">
      <w:bodyDiv w:val="1"/>
      <w:marLeft w:val="0"/>
      <w:marRight w:val="0"/>
      <w:marTop w:val="0"/>
      <w:marBottom w:val="0"/>
      <w:divBdr>
        <w:top w:val="none" w:sz="0" w:space="0" w:color="auto"/>
        <w:left w:val="none" w:sz="0" w:space="0" w:color="auto"/>
        <w:bottom w:val="none" w:sz="0" w:space="0" w:color="auto"/>
        <w:right w:val="none" w:sz="0" w:space="0" w:color="auto"/>
      </w:divBdr>
      <w:divsChild>
        <w:div w:id="552810125">
          <w:marLeft w:val="0"/>
          <w:marRight w:val="0"/>
          <w:marTop w:val="0"/>
          <w:marBottom w:val="0"/>
          <w:divBdr>
            <w:top w:val="none" w:sz="0" w:space="0" w:color="auto"/>
            <w:left w:val="none" w:sz="0" w:space="0" w:color="auto"/>
            <w:bottom w:val="none" w:sz="0" w:space="0" w:color="auto"/>
            <w:right w:val="none" w:sz="0" w:space="0" w:color="auto"/>
          </w:divBdr>
          <w:divsChild>
            <w:div w:id="2000305677">
              <w:marLeft w:val="0"/>
              <w:marRight w:val="0"/>
              <w:marTop w:val="0"/>
              <w:marBottom w:val="0"/>
              <w:divBdr>
                <w:top w:val="none" w:sz="0" w:space="0" w:color="auto"/>
                <w:left w:val="none" w:sz="0" w:space="0" w:color="auto"/>
                <w:bottom w:val="none" w:sz="0" w:space="0" w:color="auto"/>
                <w:right w:val="none" w:sz="0" w:space="0" w:color="auto"/>
              </w:divBdr>
              <w:divsChild>
                <w:div w:id="2001155512">
                  <w:marLeft w:val="0"/>
                  <w:marRight w:val="0"/>
                  <w:marTop w:val="0"/>
                  <w:marBottom w:val="0"/>
                  <w:divBdr>
                    <w:top w:val="none" w:sz="0" w:space="0" w:color="auto"/>
                    <w:left w:val="none" w:sz="0" w:space="0" w:color="auto"/>
                    <w:bottom w:val="none" w:sz="0" w:space="0" w:color="auto"/>
                    <w:right w:val="none" w:sz="0" w:space="0" w:color="auto"/>
                  </w:divBdr>
                  <w:divsChild>
                    <w:div w:id="1426416567">
                      <w:marLeft w:val="0"/>
                      <w:marRight w:val="0"/>
                      <w:marTop w:val="0"/>
                      <w:marBottom w:val="0"/>
                      <w:divBdr>
                        <w:top w:val="none" w:sz="0" w:space="0" w:color="auto"/>
                        <w:left w:val="none" w:sz="0" w:space="0" w:color="auto"/>
                        <w:bottom w:val="none" w:sz="0" w:space="0" w:color="auto"/>
                        <w:right w:val="none" w:sz="0" w:space="0" w:color="auto"/>
                      </w:divBdr>
                      <w:divsChild>
                        <w:div w:id="664935982">
                          <w:marLeft w:val="0"/>
                          <w:marRight w:val="0"/>
                          <w:marTop w:val="0"/>
                          <w:marBottom w:val="0"/>
                          <w:divBdr>
                            <w:top w:val="none" w:sz="0" w:space="0" w:color="auto"/>
                            <w:left w:val="none" w:sz="0" w:space="0" w:color="auto"/>
                            <w:bottom w:val="none" w:sz="0" w:space="0" w:color="auto"/>
                            <w:right w:val="none" w:sz="0" w:space="0" w:color="auto"/>
                          </w:divBdr>
                          <w:divsChild>
                            <w:div w:id="1456827707">
                              <w:marLeft w:val="0"/>
                              <w:marRight w:val="0"/>
                              <w:marTop w:val="0"/>
                              <w:marBottom w:val="0"/>
                              <w:divBdr>
                                <w:top w:val="none" w:sz="0" w:space="0" w:color="auto"/>
                                <w:left w:val="none" w:sz="0" w:space="0" w:color="auto"/>
                                <w:bottom w:val="none" w:sz="0" w:space="0" w:color="auto"/>
                                <w:right w:val="none" w:sz="0" w:space="0" w:color="auto"/>
                              </w:divBdr>
                              <w:divsChild>
                                <w:div w:id="8157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940806">
      <w:bodyDiv w:val="1"/>
      <w:marLeft w:val="0"/>
      <w:marRight w:val="0"/>
      <w:marTop w:val="0"/>
      <w:marBottom w:val="0"/>
      <w:divBdr>
        <w:top w:val="none" w:sz="0" w:space="0" w:color="auto"/>
        <w:left w:val="none" w:sz="0" w:space="0" w:color="auto"/>
        <w:bottom w:val="none" w:sz="0" w:space="0" w:color="auto"/>
        <w:right w:val="none" w:sz="0" w:space="0" w:color="auto"/>
      </w:divBdr>
    </w:div>
    <w:div w:id="17704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Arap" TargetMode="External"/><Relationship Id="rId13" Type="http://schemas.openxmlformats.org/officeDocument/2006/relationships/hyperlink" Target="http://tr.wikipedia.org/wiki/M%C4%B1s%C4%B1r" TargetMode="External"/><Relationship Id="rId18" Type="http://schemas.openxmlformats.org/officeDocument/2006/relationships/hyperlink" Target="http://tr.wikipedia.org/wiki/%C3%9Crd%C3%BC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tr.wikipedia.org/wiki/Suudi_Arabistan" TargetMode="External"/><Relationship Id="rId7" Type="http://schemas.openxmlformats.org/officeDocument/2006/relationships/endnotes" Target="endnotes.xml"/><Relationship Id="rId12" Type="http://schemas.openxmlformats.org/officeDocument/2006/relationships/hyperlink" Target="http://tr.wikipedia.org/wiki/Tunus" TargetMode="External"/><Relationship Id="rId17" Type="http://schemas.openxmlformats.org/officeDocument/2006/relationships/hyperlink" Target="http://tr.wikipedia.org/wiki/Cezayir" TargetMode="External"/><Relationship Id="rId25" Type="http://schemas.openxmlformats.org/officeDocument/2006/relationships/hyperlink" Target="http://tr.wikipedia.org/wiki/Fas" TargetMode="External"/><Relationship Id="rId2" Type="http://schemas.openxmlformats.org/officeDocument/2006/relationships/numbering" Target="numbering.xml"/><Relationship Id="rId16" Type="http://schemas.openxmlformats.org/officeDocument/2006/relationships/hyperlink" Target="http://tr.wikipedia.org/wiki/Bahreyn" TargetMode="External"/><Relationship Id="rId20" Type="http://schemas.openxmlformats.org/officeDocument/2006/relationships/hyperlink" Target="http://tr.wikipedia.org/wiki/Moritanya"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wikipedia.org/wiki/%C4%B0nsan_haklar%C4%B1" TargetMode="External"/><Relationship Id="rId24" Type="http://schemas.openxmlformats.org/officeDocument/2006/relationships/hyperlink" Target="http://tr.wikipedia.org/wiki/L%C3%BCbnan" TargetMode="External"/><Relationship Id="rId5" Type="http://schemas.openxmlformats.org/officeDocument/2006/relationships/webSettings" Target="webSettings.xml"/><Relationship Id="rId15" Type="http://schemas.openxmlformats.org/officeDocument/2006/relationships/hyperlink" Target="http://tr.wikipedia.org/wiki/Suriye" TargetMode="External"/><Relationship Id="rId23" Type="http://schemas.openxmlformats.org/officeDocument/2006/relationships/hyperlink" Target="http://tr.wikipedia.org/wiki/Irak" TargetMode="External"/><Relationship Id="rId28" Type="http://schemas.openxmlformats.org/officeDocument/2006/relationships/theme" Target="theme/theme1.xml"/><Relationship Id="rId10" Type="http://schemas.openxmlformats.org/officeDocument/2006/relationships/hyperlink" Target="http://tr.wikipedia.org/wiki/%C3%96zg%C3%BCrl%C3%BCk" TargetMode="External"/><Relationship Id="rId19" Type="http://schemas.openxmlformats.org/officeDocument/2006/relationships/hyperlink" Target="http://tr.wikipedia.org/wiki/Yemen" TargetMode="External"/><Relationship Id="rId4" Type="http://schemas.openxmlformats.org/officeDocument/2006/relationships/settings" Target="settings.xml"/><Relationship Id="rId9" Type="http://schemas.openxmlformats.org/officeDocument/2006/relationships/hyperlink" Target="http://tr.wikipedia.org/wiki/Demokrasi" TargetMode="External"/><Relationship Id="rId14" Type="http://schemas.openxmlformats.org/officeDocument/2006/relationships/hyperlink" Target="http://tr.wikipedia.org/wiki/Libya" TargetMode="External"/><Relationship Id="rId22" Type="http://schemas.openxmlformats.org/officeDocument/2006/relationships/hyperlink" Target="http://tr.wikipedia.org/wiki/Umman"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08EF-17FF-4039-BEA0-30F25AFA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3112</Words>
  <Characters>17742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Odman</cp:lastModifiedBy>
  <cp:revision>14</cp:revision>
  <dcterms:created xsi:type="dcterms:W3CDTF">2014-12-16T10:58:00Z</dcterms:created>
  <dcterms:modified xsi:type="dcterms:W3CDTF">2016-01-12T10:38:00Z</dcterms:modified>
</cp:coreProperties>
</file>