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5895" w:type="dxa"/>
        <w:tblInd w:w="-6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19"/>
        <w:gridCol w:w="292"/>
        <w:gridCol w:w="527"/>
        <w:gridCol w:w="293"/>
        <w:gridCol w:w="292"/>
        <w:gridCol w:w="1115"/>
        <w:gridCol w:w="292"/>
        <w:gridCol w:w="376"/>
        <w:gridCol w:w="641"/>
        <w:gridCol w:w="354"/>
        <w:gridCol w:w="423"/>
        <w:gridCol w:w="431"/>
        <w:gridCol w:w="520"/>
        <w:gridCol w:w="375"/>
        <w:gridCol w:w="335"/>
        <w:gridCol w:w="745"/>
        <w:gridCol w:w="1201"/>
        <w:gridCol w:w="702"/>
        <w:gridCol w:w="3509"/>
        <w:gridCol w:w="4020"/>
        <w:gridCol w:w="3762"/>
        <w:gridCol w:w="3971"/>
      </w:tblGrid>
      <w:tr w:rsidR="00206BE7" w:rsidTr="00206BE7">
        <w:trPr>
          <w:trHeight w:val="550"/>
        </w:trPr>
        <w:tc>
          <w:tcPr>
            <w:tcW w:w="10633" w:type="dxa"/>
            <w:gridSpan w:val="18"/>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lang w:eastAsia="en-US"/>
              </w:rPr>
              <w:t xml:space="preserve">ÇAĞ ÜNİVERSİTESİ </w:t>
            </w:r>
            <w:r>
              <w:rPr>
                <w:lang w:eastAsia="en-US"/>
              </w:rPr>
              <w:br/>
              <w:t xml:space="preserve">SOSYAL BİLİMLER ENSTİTÜSÜ </w:t>
            </w:r>
            <w:r>
              <w:rPr>
                <w:lang w:eastAsia="en-US"/>
              </w:rPr>
              <w:br/>
              <w:t xml:space="preserve">KAMU HUKUKU YÜKSEK LİSANS PROGRAMI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Kodu</w:t>
            </w:r>
          </w:p>
        </w:tc>
        <w:tc>
          <w:tcPr>
            <w:tcW w:w="3786"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Adı</w:t>
            </w:r>
          </w:p>
        </w:tc>
        <w:tc>
          <w:tcPr>
            <w:tcW w:w="240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Kredi</w:t>
            </w:r>
          </w:p>
        </w:tc>
        <w:tc>
          <w:tcPr>
            <w:tcW w:w="1903"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AKTS</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2F546A">
            <w:pPr>
              <w:pStyle w:val="NormalWeb"/>
              <w:spacing w:before="0" w:beforeAutospacing="0" w:after="200" w:afterAutospacing="0" w:line="276" w:lineRule="auto"/>
              <w:rPr>
                <w:lang w:eastAsia="en-US"/>
              </w:rPr>
            </w:pPr>
            <w:r>
              <w:rPr>
                <w:rFonts w:ascii="Arial" w:hAnsi="Arial" w:cs="Arial"/>
                <w:b/>
                <w:bCs/>
                <w:color w:val="000000"/>
                <w:sz w:val="20"/>
                <w:szCs w:val="20"/>
                <w:lang w:eastAsia="en-US"/>
              </w:rPr>
              <w:t>LAW-5</w:t>
            </w:r>
            <w:r w:rsidR="00EC1D80">
              <w:rPr>
                <w:rFonts w:ascii="Arial" w:hAnsi="Arial" w:cs="Arial"/>
                <w:b/>
                <w:bCs/>
                <w:color w:val="000000"/>
                <w:sz w:val="20"/>
                <w:szCs w:val="20"/>
                <w:lang w:eastAsia="en-US"/>
              </w:rPr>
              <w:t>5</w:t>
            </w:r>
            <w:r w:rsidR="002F546A">
              <w:rPr>
                <w:rFonts w:ascii="Arial" w:hAnsi="Arial" w:cs="Arial"/>
                <w:b/>
                <w:bCs/>
                <w:color w:val="000000"/>
                <w:sz w:val="20"/>
                <w:szCs w:val="20"/>
                <w:lang w:eastAsia="en-US"/>
              </w:rPr>
              <w:t>5</w:t>
            </w:r>
            <w:bookmarkStart w:id="0" w:name="_GoBack"/>
            <w:bookmarkEnd w:id="0"/>
          </w:p>
        </w:tc>
        <w:tc>
          <w:tcPr>
            <w:tcW w:w="3786"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F546A" w:rsidP="00562592">
            <w:pPr>
              <w:pStyle w:val="NormalWeb"/>
              <w:spacing w:before="0" w:beforeAutospacing="0" w:after="200" w:afterAutospacing="0" w:line="276" w:lineRule="auto"/>
              <w:rPr>
                <w:lang w:eastAsia="en-US"/>
              </w:rPr>
            </w:pPr>
            <w:r>
              <w:rPr>
                <w:rFonts w:ascii="Consolas" w:hAnsi="Consolas"/>
                <w:color w:val="000000"/>
                <w:sz w:val="18"/>
                <w:szCs w:val="18"/>
                <w:shd w:val="clear" w:color="auto" w:fill="ECEFF1"/>
              </w:rPr>
              <w:t>Hayat ve Vücut Bütünlüğüne Karşı Suçlar ile Mal Varlığına Karşı Suçlar</w:t>
            </w:r>
          </w:p>
        </w:tc>
        <w:tc>
          <w:tcPr>
            <w:tcW w:w="2406" w:type="dxa"/>
            <w:gridSpan w:val="5"/>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 (3-0-3)</w:t>
            </w:r>
          </w:p>
        </w:tc>
        <w:tc>
          <w:tcPr>
            <w:tcW w:w="1903"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Önkoşul Dersler</w:t>
            </w:r>
          </w:p>
        </w:tc>
        <w:tc>
          <w:tcPr>
            <w:tcW w:w="8095"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Yok</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Dersin Dili</w:t>
            </w:r>
          </w:p>
        </w:tc>
        <w:tc>
          <w:tcPr>
            <w:tcW w:w="2368"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Türkçe</w:t>
            </w:r>
          </w:p>
        </w:tc>
        <w:tc>
          <w:tcPr>
            <w:tcW w:w="2369" w:type="dxa"/>
            <w:gridSpan w:val="5"/>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Calibri" w:hAnsi="Calibri"/>
                <w:b/>
                <w:bCs/>
                <w:color w:val="000000"/>
                <w:sz w:val="20"/>
                <w:szCs w:val="20"/>
                <w:lang w:eastAsia="en-US"/>
              </w:rPr>
              <w:t>Ders İşleme Tarzı</w:t>
            </w:r>
          </w:p>
        </w:tc>
        <w:tc>
          <w:tcPr>
            <w:tcW w:w="3358"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Yüz yüze</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Dersin Türü /Düzeyi</w:t>
            </w:r>
          </w:p>
        </w:tc>
        <w:tc>
          <w:tcPr>
            <w:tcW w:w="8095"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val="en-US" w:eastAsia="en-US"/>
              </w:rPr>
              <w:t xml:space="preserve">Zorunlu / 1. </w:t>
            </w:r>
            <w:proofErr w:type="spellStart"/>
            <w:r>
              <w:rPr>
                <w:rFonts w:ascii="Arial" w:hAnsi="Arial" w:cs="Arial"/>
                <w:color w:val="000000"/>
                <w:sz w:val="20"/>
                <w:szCs w:val="20"/>
                <w:lang w:val="en-US" w:eastAsia="en-US"/>
              </w:rPr>
              <w:t>Yıl</w:t>
            </w:r>
            <w:proofErr w:type="spellEnd"/>
            <w:r>
              <w:rPr>
                <w:rFonts w:ascii="Arial" w:hAnsi="Arial" w:cs="Arial"/>
                <w:color w:val="000000"/>
                <w:sz w:val="20"/>
                <w:szCs w:val="20"/>
                <w:lang w:val="en-US" w:eastAsia="en-US"/>
              </w:rPr>
              <w:t>/</w:t>
            </w:r>
            <w:proofErr w:type="spellStart"/>
            <w:r>
              <w:rPr>
                <w:rFonts w:ascii="Arial" w:hAnsi="Arial" w:cs="Arial"/>
                <w:color w:val="000000"/>
                <w:sz w:val="20"/>
                <w:szCs w:val="20"/>
                <w:lang w:val="en-US" w:eastAsia="en-US"/>
              </w:rPr>
              <w:t>Güz</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Dönemi</w:t>
            </w:r>
            <w:proofErr w:type="spellEnd"/>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293"/>
        </w:trPr>
        <w:tc>
          <w:tcPr>
            <w:tcW w:w="2538"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Öğretim Üyeleri</w:t>
            </w:r>
          </w:p>
        </w:tc>
        <w:tc>
          <w:tcPr>
            <w:tcW w:w="2368"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Unvanı &amp; Adı Soyadı</w:t>
            </w:r>
          </w:p>
        </w:tc>
        <w:tc>
          <w:tcPr>
            <w:tcW w:w="1849"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Ders Saati </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9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Görüşme Saatleri</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1903"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İletişim</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B0F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Dersin Koordinatörü</w:t>
            </w:r>
          </w:p>
        </w:tc>
        <w:tc>
          <w:tcPr>
            <w:tcW w:w="2368"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Prof. Dr. M. Tevfik </w:t>
            </w:r>
            <w:proofErr w:type="spellStart"/>
            <w:r>
              <w:rPr>
                <w:rFonts w:ascii="Arial" w:hAnsi="Arial" w:cs="Arial"/>
                <w:color w:val="000000"/>
                <w:sz w:val="20"/>
                <w:szCs w:val="20"/>
                <w:lang w:eastAsia="en-US"/>
              </w:rPr>
              <w:t>Odman</w:t>
            </w:r>
            <w:proofErr w:type="spellEnd"/>
          </w:p>
        </w:tc>
        <w:tc>
          <w:tcPr>
            <w:tcW w:w="1849"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18.30-21.00</w:t>
            </w:r>
          </w:p>
        </w:tc>
        <w:tc>
          <w:tcPr>
            <w:tcW w:w="19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Cuma</w:t>
            </w:r>
          </w:p>
          <w:p w:rsidR="00206BE7" w:rsidRDefault="00206BE7" w:rsidP="00562592">
            <w:pPr>
              <w:pStyle w:val="NormalWeb"/>
              <w:spacing w:before="0" w:beforeAutospacing="0" w:after="200" w:afterAutospacing="0" w:line="276" w:lineRule="auto"/>
              <w:jc w:val="center"/>
              <w:rPr>
                <w:lang w:eastAsia="en-US"/>
              </w:rPr>
            </w:pPr>
          </w:p>
        </w:tc>
        <w:tc>
          <w:tcPr>
            <w:tcW w:w="1903"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6E396D" w:rsidP="00562592">
            <w:pPr>
              <w:pStyle w:val="NormalWeb"/>
              <w:spacing w:before="0" w:beforeAutospacing="0" w:after="200" w:afterAutospacing="0" w:line="276" w:lineRule="auto"/>
              <w:jc w:val="center"/>
              <w:rPr>
                <w:lang w:eastAsia="en-US"/>
              </w:rPr>
            </w:pPr>
            <w:hyperlink r:id="rId7" w:history="1">
              <w:r w:rsidR="00206BE7">
                <w:rPr>
                  <w:rStyle w:val="Kpr"/>
                  <w:rFonts w:ascii="Arial" w:hAnsi="Arial" w:cs="Arial"/>
                  <w:b/>
                  <w:bCs/>
                  <w:sz w:val="20"/>
                  <w:szCs w:val="20"/>
                  <w:lang w:eastAsia="en-US"/>
                </w:rPr>
                <w:t>mustafatevfikodman@gmail.com</w:t>
              </w:r>
            </w:hyperlink>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ind w:right="113"/>
              <w:rPr>
                <w:lang w:eastAsia="en-US"/>
              </w:rPr>
            </w:pPr>
            <w:r>
              <w:rPr>
                <w:rFonts w:ascii="Arial" w:hAnsi="Arial" w:cs="Arial"/>
                <w:b/>
                <w:bCs/>
                <w:color w:val="000000"/>
                <w:sz w:val="20"/>
                <w:szCs w:val="20"/>
                <w:lang w:eastAsia="en-US"/>
              </w:rPr>
              <w:t>Dersin Amacı</w:t>
            </w:r>
          </w:p>
        </w:tc>
        <w:tc>
          <w:tcPr>
            <w:tcW w:w="8095"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both"/>
              <w:rPr>
                <w:lang w:eastAsia="en-US"/>
              </w:rPr>
            </w:pPr>
            <w:r>
              <w:rPr>
                <w:rFonts w:ascii="Arial" w:hAnsi="Arial" w:cs="Arial"/>
                <w:color w:val="000000"/>
                <w:sz w:val="20"/>
                <w:szCs w:val="20"/>
                <w:lang w:eastAsia="en-US"/>
              </w:rPr>
              <w:t>Bu ders, insan hakları bağlamında, hayata, vücut bütünlüğüne ve malvarlığına karşı suçları tek tek gerek teorik gerekse pratik olarak öğretmeyi ve ayrıca bu suçlarla görevli ve yetkili mahkemelerin görevlerini ayrıntılı şekilde açıklayarak özellikle ceza hukuku alanında çalışan hukukçuların gerekli bilgi ve becerilerini artırmayı amaçlamaktadır.</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ind w:left="113" w:right="113"/>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ind w:left="113" w:right="113"/>
              <w:jc w:val="center"/>
              <w:rPr>
                <w:lang w:eastAsia="en-US"/>
              </w:rPr>
            </w:pPr>
            <w:r>
              <w:rPr>
                <w:rFonts w:ascii="Arial" w:hAnsi="Arial" w:cs="Arial"/>
                <w:b/>
                <w:bCs/>
                <w:color w:val="000000"/>
                <w:sz w:val="20"/>
                <w:szCs w:val="20"/>
                <w:lang w:eastAsia="en-US"/>
              </w:rPr>
              <w:t>Ders Öğrenme Çıktıları</w:t>
            </w:r>
          </w:p>
        </w:tc>
        <w:tc>
          <w:tcPr>
            <w:tcW w:w="527" w:type="dxa"/>
            <w:vMerge w:val="restart"/>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5447" w:type="dxa"/>
            <w:gridSpan w:val="12"/>
            <w:vMerge w:val="restart"/>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Bu dersi başarıyla tamamlayabilen öğrenciler;</w:t>
            </w:r>
          </w:p>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w:t>
            </w:r>
          </w:p>
        </w:tc>
        <w:tc>
          <w:tcPr>
            <w:tcW w:w="2648" w:type="dxa"/>
            <w:gridSpan w:val="3"/>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İlişkiler</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27" w:type="dxa"/>
            <w:vMerge/>
            <w:tcBorders>
              <w:top w:val="nil"/>
              <w:left w:val="nil"/>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447" w:type="dxa"/>
            <w:gridSpan w:val="12"/>
            <w:vMerge/>
            <w:tcBorders>
              <w:top w:val="nil"/>
              <w:left w:val="nil"/>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1946"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Prog</w:t>
            </w:r>
            <w:proofErr w:type="spellEnd"/>
            <w:r>
              <w:rPr>
                <w:rFonts w:ascii="Arial" w:hAnsi="Arial" w:cs="Arial"/>
                <w:b/>
                <w:bCs/>
                <w:color w:val="000000"/>
                <w:sz w:val="20"/>
                <w:szCs w:val="20"/>
                <w:lang w:eastAsia="en-US"/>
              </w:rPr>
              <w:t>. Çıktıları</w:t>
            </w:r>
          </w:p>
        </w:tc>
        <w:tc>
          <w:tcPr>
            <w:tcW w:w="70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Net Katkı</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27"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5447"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hd w:val="clear" w:color="auto" w:fill="FFFFFF"/>
              <w:spacing w:before="0" w:beforeAutospacing="0" w:after="200" w:afterAutospacing="0" w:line="276" w:lineRule="auto"/>
              <w:rPr>
                <w:lang w:eastAsia="en-US"/>
              </w:rPr>
            </w:pPr>
            <w:r>
              <w:rPr>
                <w:rFonts w:ascii="Arial" w:hAnsi="Arial" w:cs="Arial"/>
                <w:b/>
                <w:bCs/>
                <w:color w:val="000000"/>
                <w:sz w:val="20"/>
                <w:szCs w:val="20"/>
                <w:lang w:eastAsia="en-US"/>
              </w:rPr>
              <w:t xml:space="preserve">Ceza davalarında, özellikle ders kapsamında olan suçlar yönünden çok iyi bir şekilde yorumlama ve değerlendirme </w:t>
            </w:r>
            <w:proofErr w:type="gramStart"/>
            <w:r>
              <w:rPr>
                <w:rFonts w:ascii="Arial" w:hAnsi="Arial" w:cs="Arial"/>
                <w:b/>
                <w:bCs/>
                <w:color w:val="000000"/>
                <w:sz w:val="20"/>
                <w:szCs w:val="20"/>
                <w:lang w:eastAsia="en-US"/>
              </w:rPr>
              <w:t>imkanına</w:t>
            </w:r>
            <w:proofErr w:type="gramEnd"/>
            <w:r>
              <w:rPr>
                <w:rFonts w:ascii="Arial" w:hAnsi="Arial" w:cs="Arial"/>
                <w:b/>
                <w:bCs/>
                <w:color w:val="000000"/>
                <w:sz w:val="20"/>
                <w:szCs w:val="20"/>
                <w:lang w:eastAsia="en-US"/>
              </w:rPr>
              <w:t xml:space="preserve"> sahip olacaklardır.</w:t>
            </w:r>
          </w:p>
        </w:tc>
        <w:tc>
          <w:tcPr>
            <w:tcW w:w="1946"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702"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27"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5447"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hd w:val="clear" w:color="auto" w:fill="FFFFFF"/>
              <w:spacing w:before="0" w:beforeAutospacing="0" w:after="200" w:afterAutospacing="0" w:line="276" w:lineRule="auto"/>
              <w:rPr>
                <w:lang w:eastAsia="en-US"/>
              </w:rPr>
            </w:pPr>
            <w:r>
              <w:rPr>
                <w:rFonts w:ascii="Arial" w:hAnsi="Arial" w:cs="Arial"/>
                <w:b/>
                <w:bCs/>
                <w:color w:val="000000"/>
                <w:sz w:val="20"/>
                <w:szCs w:val="20"/>
                <w:lang w:eastAsia="en-US"/>
              </w:rPr>
              <w:t>Ders kapsamındaki suçlarla ilgili davalara, iddia, savunma ve yargılama makamlarının perspektifinden bakabilecek ve yorum yapabileceklerdir.</w:t>
            </w:r>
          </w:p>
        </w:tc>
        <w:tc>
          <w:tcPr>
            <w:tcW w:w="1946"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70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283"/>
        </w:trPr>
        <w:tc>
          <w:tcPr>
            <w:tcW w:w="10633"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proofErr w:type="gramStart"/>
            <w:r>
              <w:rPr>
                <w:rFonts w:ascii="Arial" w:hAnsi="Arial" w:cs="Arial"/>
                <w:b/>
                <w:bCs/>
                <w:color w:val="000000"/>
                <w:sz w:val="20"/>
                <w:szCs w:val="20"/>
                <w:lang w:eastAsia="en-US"/>
              </w:rPr>
              <w:t>Dersin İçeriği</w:t>
            </w:r>
            <w:r>
              <w:rPr>
                <w:rFonts w:ascii="Arial" w:hAnsi="Arial" w:cs="Arial"/>
                <w:color w:val="000000"/>
                <w:sz w:val="20"/>
                <w:szCs w:val="20"/>
                <w:lang w:eastAsia="en-US"/>
              </w:rPr>
              <w:t>: Türk Ceza Kanununun İkinci Kitap İkinci Kısım, Birinci ve İkinci Bölümlerinde yer verilen Hayata karşı ve Vücut Dokunulmazlığına Suçlar ile Onuncu Bölümde yer verilen Malvarlığına Karşı Suçların genel suç teorisi altında kanuni unsurlarını, içtihatlar ve öğreti ile karşılaştırmalı olarak temel ilkelerini kavramalarını ve soruşturma ve kovuşturma evrelerinde uygulamayı ve bu bilimin gelişmesini inceler ve sağlar.</w:t>
            </w:r>
            <w:proofErr w:type="gramEnd"/>
          </w:p>
        </w:tc>
        <w:tc>
          <w:tcPr>
            <w:tcW w:w="3509" w:type="dxa"/>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c>
          <w:tcPr>
            <w:tcW w:w="4020" w:type="dxa"/>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evresinde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yetkili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makam</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merciler</w:t>
            </w:r>
            <w:proofErr w:type="spellEnd"/>
          </w:p>
        </w:tc>
        <w:tc>
          <w:tcPr>
            <w:tcW w:w="3762" w:type="dxa"/>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Bölüm 2</w:t>
            </w:r>
          </w:p>
        </w:tc>
        <w:tc>
          <w:tcPr>
            <w:tcW w:w="3971" w:type="dxa"/>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r>
      <w:tr w:rsidR="00206BE7" w:rsidTr="00206BE7">
        <w:trPr>
          <w:trHeight w:val="283"/>
        </w:trPr>
        <w:tc>
          <w:tcPr>
            <w:tcW w:w="10633"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Ders İçerikleri: (Haftalık Ders Planı)</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Hafta</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Konu </w:t>
            </w:r>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Hazırlık</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line="276" w:lineRule="auto"/>
              <w:ind w:firstLine="288"/>
              <w:jc w:val="center"/>
              <w:rPr>
                <w:lang w:eastAsia="en-US"/>
              </w:rPr>
            </w:pPr>
            <w:r>
              <w:rPr>
                <w:rFonts w:ascii="Arial" w:hAnsi="Arial" w:cs="Arial"/>
                <w:b/>
                <w:bCs/>
                <w:color w:val="000000"/>
                <w:sz w:val="20"/>
                <w:szCs w:val="20"/>
                <w:lang w:eastAsia="en-US"/>
              </w:rPr>
              <w:t>Öğrenme Aktiviteleri ve Öğretim Metotları</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lastRenderedPageBreak/>
              <w:t>1</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İnsan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Hakları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kapsamı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ceza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hukuku</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yönünden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önemi</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2</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Suç</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Yolu</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Hayata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karşı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suçlardan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Kasten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4</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Kasten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Öldürmenin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Nitelikli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Halleri</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5</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Kasten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Öldürmenin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İhmali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Davranışla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İşlenmesi</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Taksirle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w:t>
            </w:r>
            <w:proofErr w:type="spellEnd"/>
            <w:r>
              <w:rPr>
                <w:rFonts w:ascii="Arial" w:hAnsi="Arial" w:cs="Arial"/>
                <w:color w:val="000000"/>
                <w:sz w:val="20"/>
                <w:szCs w:val="20"/>
                <w:lang w:val="en-US" w:eastAsia="en-US"/>
              </w:rPr>
              <w:t xml:space="preserve"> </w:t>
            </w:r>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2</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7</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lang w:eastAsia="en-US"/>
              </w:rPr>
              <w:t>Taksirle Yaralama</w:t>
            </w:r>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2</w:t>
            </w:r>
          </w:p>
        </w:tc>
        <w:tc>
          <w:tcPr>
            <w:tcW w:w="2983"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Yansılı 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Ara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Sınav</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9</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Genel</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Olarak</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Malvarlığı</w:t>
            </w:r>
            <w:proofErr w:type="spellEnd"/>
            <w:r>
              <w:rPr>
                <w:rFonts w:ascii="Arial" w:hAnsi="Arial" w:cs="Arial"/>
                <w:color w:val="000000"/>
                <w:sz w:val="20"/>
                <w:szCs w:val="20"/>
                <w:lang w:val="en-US" w:eastAsia="en-US"/>
              </w:rPr>
              <w:t xml:space="preserve"> </w:t>
            </w:r>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Ders Kitabı, İkinci Kitap </w:t>
            </w:r>
            <w:proofErr w:type="gramStart"/>
            <w:r>
              <w:rPr>
                <w:rFonts w:ascii="Arial" w:hAnsi="Arial" w:cs="Arial"/>
                <w:color w:val="000000"/>
                <w:sz w:val="20"/>
                <w:szCs w:val="20"/>
                <w:lang w:eastAsia="en-US"/>
              </w:rPr>
              <w:t>Bölüm  10</w:t>
            </w:r>
            <w:proofErr w:type="gramEnd"/>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10</w:t>
            </w:r>
          </w:p>
        </w:tc>
        <w:tc>
          <w:tcPr>
            <w:tcW w:w="382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lang w:eastAsia="en-US"/>
              </w:rPr>
              <w:t>Malvarlığına Karşı Suçlar</w:t>
            </w:r>
          </w:p>
        </w:tc>
        <w:tc>
          <w:tcPr>
            <w:tcW w:w="210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11</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Hırsızlık</w:t>
            </w:r>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12</w:t>
            </w:r>
          </w:p>
        </w:tc>
        <w:tc>
          <w:tcPr>
            <w:tcW w:w="382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Nitelikli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Hırsızlık</w:t>
            </w:r>
            <w:proofErr w:type="spellEnd"/>
          </w:p>
        </w:tc>
        <w:tc>
          <w:tcPr>
            <w:tcW w:w="210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13</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Yağma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Nitelikli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yağma</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14</w:t>
            </w:r>
          </w:p>
        </w:tc>
        <w:tc>
          <w:tcPr>
            <w:tcW w:w="382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 xml:space="preserve">Mala </w:t>
            </w:r>
            <w:proofErr w:type="spellStart"/>
            <w:r>
              <w:rPr>
                <w:rFonts w:ascii="Arial" w:hAnsi="Arial" w:cs="Arial"/>
                <w:color w:val="000000"/>
                <w:sz w:val="20"/>
                <w:szCs w:val="20"/>
                <w:lang w:val="en-US" w:eastAsia="en-US"/>
              </w:rPr>
              <w:t>Zarar</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Verme</w:t>
            </w:r>
            <w:proofErr w:type="spellEnd"/>
          </w:p>
        </w:tc>
        <w:tc>
          <w:tcPr>
            <w:tcW w:w="210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15</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Dolandırıcılık</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16</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 xml:space="preserve">Final </w:t>
            </w:r>
            <w:proofErr w:type="spellStart"/>
            <w:r>
              <w:rPr>
                <w:rFonts w:ascii="Arial" w:hAnsi="Arial" w:cs="Arial"/>
                <w:color w:val="000000"/>
                <w:sz w:val="20"/>
                <w:szCs w:val="20"/>
                <w:lang w:val="en-US" w:eastAsia="en-US"/>
              </w:rPr>
              <w:t>Sınavı</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KAYNAKLAR</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831"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Kitabı</w:t>
            </w:r>
          </w:p>
        </w:tc>
        <w:tc>
          <w:tcPr>
            <w:tcW w:w="7802"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val="en-US" w:eastAsia="en-US"/>
              </w:rPr>
              <w:t>Torik</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ve</w:t>
            </w:r>
            <w:proofErr w:type="spellEnd"/>
            <w:r>
              <w:rPr>
                <w:rFonts w:ascii="Arial" w:hAnsi="Arial" w:cs="Arial"/>
                <w:b/>
                <w:bCs/>
                <w:color w:val="000000"/>
                <w:sz w:val="20"/>
                <w:szCs w:val="20"/>
                <w:lang w:val="en-US" w:eastAsia="en-US"/>
              </w:rPr>
              <w:t xml:space="preserve"> Pratik </w:t>
            </w:r>
            <w:proofErr w:type="spellStart"/>
            <w:r>
              <w:rPr>
                <w:rFonts w:ascii="Arial" w:hAnsi="Arial" w:cs="Arial"/>
                <w:b/>
                <w:bCs/>
                <w:color w:val="000000"/>
                <w:sz w:val="20"/>
                <w:szCs w:val="20"/>
                <w:lang w:val="en-US" w:eastAsia="en-US"/>
              </w:rPr>
              <w:t>Ceza</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Özel</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Hukuku</w:t>
            </w:r>
            <w:proofErr w:type="gramStart"/>
            <w:r>
              <w:rPr>
                <w:rFonts w:ascii="Arial" w:hAnsi="Arial" w:cs="Arial"/>
                <w:b/>
                <w:bCs/>
                <w:color w:val="000000"/>
                <w:sz w:val="20"/>
                <w:szCs w:val="20"/>
                <w:lang w:val="en-US" w:eastAsia="en-US"/>
              </w:rPr>
              <w:t>,Durmuş</w:t>
            </w:r>
            <w:proofErr w:type="spellEnd"/>
            <w:proofErr w:type="gram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Tezcan</w:t>
            </w:r>
            <w:proofErr w:type="spellEnd"/>
            <w:r>
              <w:rPr>
                <w:rFonts w:ascii="Arial" w:hAnsi="Arial" w:cs="Arial"/>
                <w:b/>
                <w:bCs/>
                <w:color w:val="000000"/>
                <w:sz w:val="20"/>
                <w:szCs w:val="20"/>
                <w:lang w:val="en-US" w:eastAsia="en-US"/>
              </w:rPr>
              <w:t xml:space="preserve">, Mustafa </w:t>
            </w:r>
            <w:proofErr w:type="spellStart"/>
            <w:r>
              <w:rPr>
                <w:rFonts w:ascii="Arial" w:hAnsi="Arial" w:cs="Arial"/>
                <w:b/>
                <w:bCs/>
                <w:color w:val="000000"/>
                <w:sz w:val="20"/>
                <w:szCs w:val="20"/>
                <w:lang w:val="en-US" w:eastAsia="en-US"/>
              </w:rPr>
              <w:t>Ruhan</w:t>
            </w:r>
            <w:proofErr w:type="spellEnd"/>
            <w:r>
              <w:rPr>
                <w:rFonts w:ascii="Arial" w:hAnsi="Arial" w:cs="Arial"/>
                <w:b/>
                <w:bCs/>
                <w:color w:val="000000"/>
                <w:sz w:val="20"/>
                <w:szCs w:val="20"/>
                <w:lang w:val="en-US" w:eastAsia="en-US"/>
              </w:rPr>
              <w:t xml:space="preserve"> Erdem, Murat </w:t>
            </w:r>
            <w:proofErr w:type="spellStart"/>
            <w:r>
              <w:rPr>
                <w:rFonts w:ascii="Arial" w:hAnsi="Arial" w:cs="Arial"/>
                <w:b/>
                <w:bCs/>
                <w:color w:val="000000"/>
                <w:sz w:val="20"/>
                <w:szCs w:val="20"/>
                <w:lang w:val="en-US" w:eastAsia="en-US"/>
              </w:rPr>
              <w:t>Önök</w:t>
            </w:r>
            <w:proofErr w:type="spellEnd"/>
            <w:r>
              <w:rPr>
                <w:rFonts w:ascii="Arial" w:hAnsi="Arial" w:cs="Arial"/>
                <w:b/>
                <w:bCs/>
                <w:color w:val="000000"/>
                <w:sz w:val="20"/>
                <w:szCs w:val="20"/>
                <w:lang w:val="en-US" w:eastAsia="en-US"/>
              </w:rPr>
              <w:t>, Ankara, 2021.</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831"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Notları</w:t>
            </w:r>
          </w:p>
        </w:tc>
        <w:tc>
          <w:tcPr>
            <w:tcW w:w="7802" w:type="dxa"/>
            <w:gridSpan w:val="14"/>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831"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Önerilen Kaynaklar</w:t>
            </w:r>
          </w:p>
        </w:tc>
        <w:tc>
          <w:tcPr>
            <w:tcW w:w="7802"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val="fr-FR" w:eastAsia="en-US"/>
              </w:rPr>
              <w:t xml:space="preserve">Türk </w:t>
            </w:r>
            <w:proofErr w:type="spellStart"/>
            <w:r>
              <w:rPr>
                <w:rFonts w:ascii="Arial" w:hAnsi="Arial" w:cs="Arial"/>
                <w:b/>
                <w:bCs/>
                <w:color w:val="000000"/>
                <w:sz w:val="20"/>
                <w:szCs w:val="20"/>
                <w:lang w:val="fr-FR" w:eastAsia="en-US"/>
              </w:rPr>
              <w:t>Ceza</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Hukuku</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Özel</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Hükümler</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Veli</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Özer</w:t>
            </w:r>
            <w:proofErr w:type="spellEnd"/>
            <w:r>
              <w:rPr>
                <w:rFonts w:ascii="Arial" w:hAnsi="Arial" w:cs="Arial"/>
                <w:b/>
                <w:bCs/>
                <w:color w:val="000000"/>
                <w:sz w:val="20"/>
                <w:szCs w:val="20"/>
                <w:lang w:val="fr-FR" w:eastAsia="en-US"/>
              </w:rPr>
              <w:t xml:space="preserve"> Özbek, </w:t>
            </w:r>
            <w:proofErr w:type="spellStart"/>
            <w:r>
              <w:rPr>
                <w:rFonts w:ascii="Arial" w:hAnsi="Arial" w:cs="Arial"/>
                <w:b/>
                <w:bCs/>
                <w:color w:val="000000"/>
                <w:sz w:val="20"/>
                <w:szCs w:val="20"/>
                <w:lang w:val="fr-FR" w:eastAsia="en-US"/>
              </w:rPr>
              <w:t>Koray</w:t>
            </w:r>
            <w:proofErr w:type="spellEnd"/>
            <w:r>
              <w:rPr>
                <w:rFonts w:ascii="Arial" w:hAnsi="Arial" w:cs="Arial"/>
                <w:b/>
                <w:bCs/>
                <w:color w:val="000000"/>
                <w:sz w:val="20"/>
                <w:szCs w:val="20"/>
                <w:lang w:val="fr-FR" w:eastAsia="en-US"/>
              </w:rPr>
              <w:t xml:space="preserve"> Doğan, Pınar </w:t>
            </w:r>
            <w:proofErr w:type="spellStart"/>
            <w:r>
              <w:rPr>
                <w:rFonts w:ascii="Arial" w:hAnsi="Arial" w:cs="Arial"/>
                <w:b/>
                <w:bCs/>
                <w:color w:val="000000"/>
                <w:sz w:val="20"/>
                <w:szCs w:val="20"/>
                <w:lang w:val="fr-FR" w:eastAsia="en-US"/>
              </w:rPr>
              <w:t>Bacaksız</w:t>
            </w:r>
            <w:proofErr w:type="spellEnd"/>
            <w:r>
              <w:rPr>
                <w:rFonts w:ascii="Arial" w:hAnsi="Arial" w:cs="Arial"/>
                <w:b/>
                <w:bCs/>
                <w:color w:val="000000"/>
                <w:sz w:val="20"/>
                <w:szCs w:val="20"/>
                <w:lang w:val="fr-FR" w:eastAsia="en-US"/>
              </w:rPr>
              <w:t>, Ankara, 2021.</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lastRenderedPageBreak/>
              <w:t>ÖLÇME ve DEĞERLENDİRME</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Etkinlikler</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Sayı</w:t>
            </w:r>
          </w:p>
        </w:tc>
        <w:tc>
          <w:tcPr>
            <w:tcW w:w="1663"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Katkı</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Notlar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Ara Sınav</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66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40%</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Ödevler</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663"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Proje</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66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i/>
                <w:iCs/>
                <w:color w:val="000000"/>
                <w:sz w:val="20"/>
                <w:szCs w:val="20"/>
                <w:lang w:eastAsia="en-US"/>
              </w:rPr>
              <w:t>Yıl İçinin Başarıya Oranı</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1663"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i/>
                <w:iCs/>
                <w:color w:val="000000"/>
                <w:sz w:val="20"/>
                <w:szCs w:val="20"/>
                <w:lang w:eastAsia="en-US"/>
              </w:rPr>
              <w:t>Finalin Başarıya Oranı</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66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60%</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70"/>
        </w:trPr>
        <w:tc>
          <w:tcPr>
            <w:tcW w:w="10633"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70" w:lineRule="atLeast"/>
              <w:jc w:val="center"/>
              <w:rPr>
                <w:lang w:eastAsia="en-US"/>
              </w:rPr>
            </w:pPr>
            <w:r>
              <w:rPr>
                <w:rFonts w:ascii="Arial" w:hAnsi="Arial" w:cs="Arial"/>
                <w:b/>
                <w:bCs/>
                <w:color w:val="000000"/>
                <w:sz w:val="20"/>
                <w:szCs w:val="20"/>
                <w:lang w:eastAsia="en-US"/>
              </w:rPr>
              <w:t>AKTS TABLOSU</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70" w:lineRule="atLeast"/>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İçerik</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Sayı</w:t>
            </w:r>
          </w:p>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Saat</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Toplam</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Süresi</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16</w:t>
            </w:r>
          </w:p>
        </w:tc>
        <w:tc>
          <w:tcPr>
            <w:tcW w:w="1371" w:type="dxa"/>
            <w:gridSpan w:val="3"/>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48</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Sınıf Dışı Ders Çalışma</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Ödevler</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371" w:type="dxa"/>
            <w:gridSpan w:val="3"/>
            <w:tcBorders>
              <w:top w:val="nil"/>
              <w:left w:val="nil"/>
              <w:bottom w:val="single" w:sz="8" w:space="0" w:color="78C0D4"/>
              <w:right w:val="nil"/>
            </w:tcBorders>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Proje</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Ara Sınav</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371" w:type="dxa"/>
            <w:gridSpan w:val="3"/>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6</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Final Sınavı</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6</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5901" w:type="dxa"/>
            <w:gridSpan w:val="10"/>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Toplam</w:t>
            </w:r>
          </w:p>
          <w:p w:rsidR="00206BE7" w:rsidRDefault="00206BE7" w:rsidP="00562592">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Toplam / 30</w:t>
            </w:r>
          </w:p>
          <w:p w:rsidR="00206BE7" w:rsidRDefault="00206BE7" w:rsidP="00562592">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AKTS Kredisi</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60</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5901" w:type="dxa"/>
            <w:gridSpan w:val="10"/>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=60/30= 2</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60"/>
        </w:trPr>
        <w:tc>
          <w:tcPr>
            <w:tcW w:w="5901" w:type="dxa"/>
            <w:gridSpan w:val="10"/>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9</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GEÇMİŞ DÖNEM BAŞARILARI</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tcMar>
              <w:top w:w="0" w:type="dxa"/>
              <w:left w:w="70" w:type="dxa"/>
              <w:bottom w:w="0" w:type="dxa"/>
              <w:right w:w="70"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jc w:val="center"/>
              <w:rPr>
                <w:lang w:eastAsia="en-US"/>
              </w:rPr>
            </w:pPr>
            <w:r>
              <w:rPr>
                <w:noProof/>
              </w:rPr>
              <w:lastRenderedPageBreak/>
              <w:drawing>
                <wp:inline distT="0" distB="0" distL="0" distR="0" wp14:anchorId="42C23D2D" wp14:editId="30B1CB87">
                  <wp:extent cx="3009900" cy="2019300"/>
                  <wp:effectExtent l="0" t="0" r="19050"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b/>
                <w:bCs/>
                <w:color w:val="000000"/>
                <w:sz w:val="20"/>
                <w:szCs w:val="20"/>
                <w:lang w:eastAsia="en-US"/>
              </w:rPr>
              <w:t> </w:t>
            </w:r>
          </w:p>
        </w:tc>
        <w:tc>
          <w:tcPr>
            <w:tcW w:w="15262" w:type="dxa"/>
            <w:gridSpan w:val="4"/>
            <w:tcBorders>
              <w:top w:val="nil"/>
              <w:left w:val="nil"/>
              <w:bottom w:val="nil"/>
              <w:right w:val="nil"/>
            </w:tcBorders>
            <w:tcMar>
              <w:top w:w="0" w:type="dxa"/>
              <w:left w:w="70" w:type="dxa"/>
              <w:bottom w:w="0" w:type="dxa"/>
              <w:right w:w="70" w:type="dxa"/>
            </w:tcMar>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lastRenderedPageBreak/>
              <w:t> </w:t>
            </w:r>
          </w:p>
        </w:tc>
      </w:tr>
      <w:tr w:rsidR="00206BE7" w:rsidTr="00206BE7">
        <w:tc>
          <w:tcPr>
            <w:tcW w:w="1719"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527"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3"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111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76"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641"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54"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423"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431"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520"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7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3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74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1201"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70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bl>
    <w:p w:rsidR="008C4539" w:rsidRDefault="006E396D" w:rsidP="00206BE7">
      <w:pPr>
        <w:pStyle w:val="NormalWeb"/>
        <w:spacing w:before="0" w:beforeAutospacing="0" w:after="200" w:afterAutospacing="0"/>
      </w:pPr>
    </w:p>
    <w:sectPr w:rsidR="008C45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6D" w:rsidRDefault="006E396D" w:rsidP="00206BE7">
      <w:pPr>
        <w:spacing w:after="0" w:line="240" w:lineRule="auto"/>
      </w:pPr>
      <w:r>
        <w:separator/>
      </w:r>
    </w:p>
  </w:endnote>
  <w:endnote w:type="continuationSeparator" w:id="0">
    <w:p w:rsidR="006E396D" w:rsidRDefault="006E396D" w:rsidP="002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6D" w:rsidRDefault="006E396D" w:rsidP="00206BE7">
      <w:pPr>
        <w:spacing w:after="0" w:line="240" w:lineRule="auto"/>
      </w:pPr>
      <w:r>
        <w:separator/>
      </w:r>
    </w:p>
  </w:footnote>
  <w:footnote w:type="continuationSeparator" w:id="0">
    <w:p w:rsidR="006E396D" w:rsidRDefault="006E396D" w:rsidP="00206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E7"/>
    <w:rsid w:val="00206BE7"/>
    <w:rsid w:val="002F546A"/>
    <w:rsid w:val="004D6304"/>
    <w:rsid w:val="0053265E"/>
    <w:rsid w:val="006E396D"/>
    <w:rsid w:val="009F1271"/>
    <w:rsid w:val="00A30CD4"/>
    <w:rsid w:val="00EC1D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206BE7"/>
  </w:style>
  <w:style w:type="character" w:styleId="Kpr">
    <w:name w:val="Hyperlink"/>
    <w:basedOn w:val="VarsaylanParagrafYazTipi"/>
    <w:uiPriority w:val="99"/>
    <w:semiHidden/>
    <w:unhideWhenUsed/>
    <w:rsid w:val="00206BE7"/>
    <w:rPr>
      <w:color w:val="0000FF"/>
      <w:u w:val="single"/>
    </w:rPr>
  </w:style>
  <w:style w:type="paragraph" w:styleId="NormalWeb">
    <w:name w:val="Normal (Web)"/>
    <w:basedOn w:val="Normal"/>
    <w:uiPriority w:val="99"/>
    <w:unhideWhenUsed/>
    <w:rsid w:val="00206BE7"/>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20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06BE7"/>
    <w:rPr>
      <w:rFonts w:ascii="Courier New" w:eastAsia="Times New Roman" w:hAnsi="Courier New" w:cs="Courier New"/>
      <w:sz w:val="20"/>
      <w:szCs w:val="20"/>
      <w:lang w:eastAsia="tr-TR"/>
    </w:rPr>
  </w:style>
  <w:style w:type="character" w:customStyle="1" w:styleId="y2iqfc">
    <w:name w:val="y2iqfc"/>
    <w:basedOn w:val="VarsaylanParagrafYazTipi"/>
    <w:rsid w:val="00206BE7"/>
  </w:style>
  <w:style w:type="paragraph" w:styleId="BalonMetni">
    <w:name w:val="Balloon Text"/>
    <w:basedOn w:val="Normal"/>
    <w:link w:val="BalonMetniChar"/>
    <w:uiPriority w:val="99"/>
    <w:semiHidden/>
    <w:unhideWhenUsed/>
    <w:rsid w:val="00206B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BE7"/>
    <w:rPr>
      <w:rFonts w:ascii="Tahoma" w:hAnsi="Tahoma" w:cs="Tahoma"/>
      <w:sz w:val="16"/>
      <w:szCs w:val="16"/>
    </w:rPr>
  </w:style>
  <w:style w:type="paragraph" w:styleId="stbilgi">
    <w:name w:val="header"/>
    <w:basedOn w:val="Normal"/>
    <w:link w:val="stbilgiChar"/>
    <w:uiPriority w:val="99"/>
    <w:unhideWhenUsed/>
    <w:rsid w:val="00206B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6BE7"/>
  </w:style>
  <w:style w:type="paragraph" w:styleId="Altbilgi">
    <w:name w:val="footer"/>
    <w:basedOn w:val="Normal"/>
    <w:link w:val="AltbilgiChar"/>
    <w:uiPriority w:val="99"/>
    <w:unhideWhenUsed/>
    <w:rsid w:val="00206B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6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206BE7"/>
  </w:style>
  <w:style w:type="character" w:styleId="Kpr">
    <w:name w:val="Hyperlink"/>
    <w:basedOn w:val="VarsaylanParagrafYazTipi"/>
    <w:uiPriority w:val="99"/>
    <w:semiHidden/>
    <w:unhideWhenUsed/>
    <w:rsid w:val="00206BE7"/>
    <w:rPr>
      <w:color w:val="0000FF"/>
      <w:u w:val="single"/>
    </w:rPr>
  </w:style>
  <w:style w:type="paragraph" w:styleId="NormalWeb">
    <w:name w:val="Normal (Web)"/>
    <w:basedOn w:val="Normal"/>
    <w:uiPriority w:val="99"/>
    <w:unhideWhenUsed/>
    <w:rsid w:val="00206BE7"/>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20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06BE7"/>
    <w:rPr>
      <w:rFonts w:ascii="Courier New" w:eastAsia="Times New Roman" w:hAnsi="Courier New" w:cs="Courier New"/>
      <w:sz w:val="20"/>
      <w:szCs w:val="20"/>
      <w:lang w:eastAsia="tr-TR"/>
    </w:rPr>
  </w:style>
  <w:style w:type="character" w:customStyle="1" w:styleId="y2iqfc">
    <w:name w:val="y2iqfc"/>
    <w:basedOn w:val="VarsaylanParagrafYazTipi"/>
    <w:rsid w:val="00206BE7"/>
  </w:style>
  <w:style w:type="paragraph" w:styleId="BalonMetni">
    <w:name w:val="Balloon Text"/>
    <w:basedOn w:val="Normal"/>
    <w:link w:val="BalonMetniChar"/>
    <w:uiPriority w:val="99"/>
    <w:semiHidden/>
    <w:unhideWhenUsed/>
    <w:rsid w:val="00206B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BE7"/>
    <w:rPr>
      <w:rFonts w:ascii="Tahoma" w:hAnsi="Tahoma" w:cs="Tahoma"/>
      <w:sz w:val="16"/>
      <w:szCs w:val="16"/>
    </w:rPr>
  </w:style>
  <w:style w:type="paragraph" w:styleId="stbilgi">
    <w:name w:val="header"/>
    <w:basedOn w:val="Normal"/>
    <w:link w:val="stbilgiChar"/>
    <w:uiPriority w:val="99"/>
    <w:unhideWhenUsed/>
    <w:rsid w:val="00206B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6BE7"/>
  </w:style>
  <w:style w:type="paragraph" w:styleId="Altbilgi">
    <w:name w:val="footer"/>
    <w:basedOn w:val="Normal"/>
    <w:link w:val="AltbilgiChar"/>
    <w:uiPriority w:val="99"/>
    <w:unhideWhenUsed/>
    <w:rsid w:val="00206B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ustafatevfikodma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6787626904\Downloads\grafik-tasarimi%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2021-2022  Güz Dönemi
LAW 552İnsan Hakları Bağlmında Hayata, Vücut Bütünlüğüne ve Malvarlığına Karşı</a:t>
            </a:r>
            <a:r>
              <a:rPr lang="tr-TR" baseline="0"/>
              <a:t> Suçlar</a:t>
            </a:r>
            <a:endParaRPr lang="tr-TR" sz="1000" b="1" i="0" u="none" strike="noStrike" baseline="0">
              <a:effectLst/>
            </a:endParaRPr>
          </a:p>
        </c:rich>
      </c:tx>
      <c:layout>
        <c:manualLayout>
          <c:xMode val="edge"/>
          <c:yMode val="edge"/>
          <c:x val="0.15939648626196529"/>
          <c:y val="2.017539276784714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(2).xls]Sheet1'!$A$3:$A$12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(2).xls]Sheet1'!$B$3:$B$12</c:f>
              <c:numCache>
                <c:formatCode>General</c:formatCode>
                <c:ptCount val="10"/>
                <c:pt idx="0">
                  <c:v>0</c:v>
                </c:pt>
                <c:pt idx="1">
                  <c:v>10</c:v>
                </c:pt>
                <c:pt idx="2">
                  <c:v>1</c:v>
                </c:pt>
                <c:pt idx="3">
                  <c:v>0</c:v>
                </c:pt>
                <c:pt idx="4">
                  <c:v>5</c:v>
                </c:pt>
                <c:pt idx="5">
                  <c:v>5</c:v>
                </c:pt>
                <c:pt idx="6">
                  <c:v>4</c:v>
                </c:pt>
                <c:pt idx="7">
                  <c:v>9</c:v>
                </c:pt>
                <c:pt idx="8">
                  <c:v>11</c:v>
                </c:pt>
                <c:pt idx="9">
                  <c:v>10</c:v>
                </c:pt>
              </c:numCache>
            </c:numRef>
          </c:val>
        </c:ser>
        <c:dLbls>
          <c:showLegendKey val="0"/>
          <c:showVal val="0"/>
          <c:showCatName val="0"/>
          <c:showSerName val="0"/>
          <c:showPercent val="0"/>
          <c:showBubbleSize val="0"/>
        </c:dLbls>
        <c:gapWidth val="150"/>
        <c:axId val="239555584"/>
        <c:axId val="68852480"/>
      </c:barChart>
      <c:catAx>
        <c:axId val="23955558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68852480"/>
        <c:crosses val="autoZero"/>
        <c:auto val="1"/>
        <c:lblAlgn val="ctr"/>
        <c:lblOffset val="100"/>
        <c:tickLblSkip val="1"/>
        <c:tickMarkSkip val="1"/>
        <c:noMultiLvlLbl val="0"/>
      </c:catAx>
      <c:valAx>
        <c:axId val="6885248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955558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666</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Puren DOGANAY</dc:creator>
  <cp:lastModifiedBy>Aycan KOL</cp:lastModifiedBy>
  <cp:revision>3</cp:revision>
  <dcterms:created xsi:type="dcterms:W3CDTF">2022-10-13T07:01:00Z</dcterms:created>
  <dcterms:modified xsi:type="dcterms:W3CDTF">2023-11-21T06:37:00Z</dcterms:modified>
</cp:coreProperties>
</file>