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D06EFA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2447EEFE" w:rsidR="005A2B8A" w:rsidRPr="00D06EFA" w:rsidRDefault="00C5665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7BF0C3B6" w:rsidR="005A2B8A" w:rsidRPr="00D06EFA" w:rsidRDefault="00D15971" w:rsidP="00D64B0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Hukuk</w:t>
            </w:r>
            <w:r w:rsidR="00D64B09" w:rsidRPr="00D06EF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A2B8A" w:rsidRPr="00D06EFA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Fakültesi</w:t>
            </w:r>
          </w:p>
        </w:tc>
      </w:tr>
      <w:tr w:rsidR="00482527" w:rsidRPr="00D06EFA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D06EFA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D06EFA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D06EFA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D06EFA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D06EFA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518F" w:rsidRPr="00D06EFA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43EC3A70" w:rsidR="0068518F" w:rsidRPr="000B22AF" w:rsidRDefault="00A342C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LAW</w:t>
            </w:r>
            <w:r w:rsidR="004B6314">
              <w:rPr>
                <w:rFonts w:ascii="Arial" w:hAnsi="Arial" w:cs="Arial"/>
                <w:b w:val="0"/>
                <w:sz w:val="22"/>
                <w:szCs w:val="22"/>
              </w:rPr>
              <w:t xml:space="preserve"> 146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472489AD" w:rsidR="0068518F" w:rsidRPr="00D06EFA" w:rsidRDefault="004B6314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Eleştirel Düşünme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784EB37A" w:rsidR="0068518F" w:rsidRPr="00D06EFA" w:rsidRDefault="004B631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(2</w:t>
            </w:r>
            <w:r w:rsidR="0068518F" w:rsidRPr="00D06EFA">
              <w:rPr>
                <w:rFonts w:ascii="Arial" w:hAnsi="Arial" w:cs="Arial"/>
                <w:sz w:val="22"/>
                <w:szCs w:val="22"/>
              </w:rPr>
              <w:t>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62423276" w:rsidR="0068518F" w:rsidRPr="000B22AF" w:rsidRDefault="004B631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681162" w:rsidRPr="00D06EFA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D06EFA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D06EF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D06EFA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D06EFA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D06EFA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D06EF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5F86B71E" w:rsidR="00681162" w:rsidRPr="00D06EFA" w:rsidRDefault="0068518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D06EFA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D06EFA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D06EFA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4B6314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B6314" w:rsidRDefault="00681162" w:rsidP="001B0A2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B63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Dersin Türü </w:t>
            </w:r>
            <w:r w:rsidR="00A8173B" w:rsidRPr="004B63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ve </w:t>
            </w:r>
            <w:r w:rsidRPr="004B63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Düzeyi</w:t>
            </w:r>
            <w:r w:rsidR="00F96934" w:rsidRPr="004B63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45D3E36D" w:rsidR="00681162" w:rsidRPr="004B6314" w:rsidRDefault="003432AB" w:rsidP="00101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Seçmeli / 1</w:t>
            </w:r>
            <w:r w:rsidR="004B6314" w:rsidRPr="004B6314">
              <w:rPr>
                <w:rFonts w:ascii="Arial" w:hAnsi="Arial" w:cs="Arial"/>
                <w:b w:val="0"/>
                <w:sz w:val="22"/>
                <w:szCs w:val="22"/>
              </w:rPr>
              <w:t>.Yıl / Güz Dönemi-</w:t>
            </w:r>
            <w:r w:rsidR="00D525A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B6314" w:rsidRPr="004B6314">
              <w:rPr>
                <w:rFonts w:ascii="Arial" w:hAnsi="Arial" w:cs="Arial"/>
                <w:b w:val="0"/>
                <w:sz w:val="22"/>
                <w:szCs w:val="22"/>
              </w:rPr>
              <w:t xml:space="preserve">Düzey </w:t>
            </w:r>
            <w:r w:rsidR="00101AE2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F96934" w:rsidRPr="00D06EFA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D06EFA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D06EFA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D06EFA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D06EFA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D06EFA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76A38BFA" w:rsidR="004F6D65" w:rsidRPr="00D06EFA" w:rsidRDefault="004F6D65" w:rsidP="004F6D65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D06EF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D06EFA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D06EFA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D06EFA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D06EFA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D06EFA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D06EFA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7B3DFA37" w:rsidR="00F96934" w:rsidRPr="00D06EFA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Dr. Canol Kandemir</w:t>
            </w:r>
            <w:r w:rsidRPr="00D06EF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537D4" w:rsidRPr="00D06EFA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D06EFA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4C168AB0" w:rsidR="0060178F" w:rsidRPr="00D365BA" w:rsidRDefault="00D365BA" w:rsidP="0060178F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Bu ders</w:t>
            </w:r>
            <w:r w:rsidR="006478D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, hukuk </w:t>
            </w:r>
            <w:r w:rsidR="001250F5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düşüncesi ve </w:t>
            </w:r>
            <w:r w:rsidR="006478D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uygulaması özelinde</w:t>
            </w:r>
            <w:r w:rsidRPr="00D365B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geleneksel ve anaakım işlevselci düşünce ile bu düşüncenin kısmen ya da tamamen eleştiren alternatif yorumcu, hümanist ve yapısalcı düşünceleri tanıtmayı amaçlamaktadır.</w:t>
            </w:r>
          </w:p>
        </w:tc>
      </w:tr>
      <w:tr w:rsidR="0060178F" w:rsidRPr="00D06EFA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D06EFA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D06EFA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D06EFA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D06EFA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D06EFA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D06EFA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D06EFA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D06EFA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D06EFA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D365BA" w:rsidRPr="00D06EFA" w14:paraId="09B246EF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2E676E0B" w:rsidR="00D365BA" w:rsidRPr="00D365BA" w:rsidRDefault="00D365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color w:val="000000"/>
                <w:sz w:val="22"/>
                <w:szCs w:val="22"/>
              </w:rPr>
              <w:t>işlevselci, yorumcu, hümanist ve yapısalcı düşünceleri birbirinden ayırabilmektedir.</w:t>
            </w:r>
            <w:r w:rsidRPr="00D365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700A6EB3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1FEF46A1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D365BA" w:rsidRPr="00D06EFA" w14:paraId="2914C0F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6284917F" w:rsidR="00D365BA" w:rsidRPr="00D365BA" w:rsidRDefault="00D365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 xml:space="preserve">farklı düşüncelerin üst varsayımlarımı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1AABAED9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33093F05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D365BA" w:rsidRPr="00D06EFA" w14:paraId="6B4B5D9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57D78A21" w:rsidR="00D365BA" w:rsidRPr="00D365BA" w:rsidRDefault="00D365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 xml:space="preserve">farklı düşünce ailesine ait olan teorileri karşılaştırabilmektedir.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469C99C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F005145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 xml:space="preserve">5 </w:t>
            </w:r>
          </w:p>
        </w:tc>
      </w:tr>
      <w:tr w:rsidR="00D365BA" w:rsidRPr="00D06EFA" w14:paraId="61F9DB8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4C011762" w:rsidR="00D365BA" w:rsidRPr="00D365BA" w:rsidRDefault="00D365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 xml:space="preserve">bilim ve toplumu dört düşünce açısından analiz edebilmektedir.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2C538B5B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11342654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D365BA" w:rsidRPr="00D06EFA" w14:paraId="1842EBF9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2C60B735" w14:textId="0E7AB0FE" w:rsidR="00D365BA" w:rsidRPr="00D365BA" w:rsidRDefault="00D365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eleştirel teoriyi dört düşünce içinde konumlandırabilmektedir.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4B7C9422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43CD30A8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>5 &amp; 4</w:t>
            </w:r>
          </w:p>
        </w:tc>
      </w:tr>
      <w:tr w:rsidR="00D365BA" w:rsidRPr="00D06EFA" w14:paraId="3F827649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A97A7BA" w14:textId="2336D42A" w:rsidR="00D365BA" w:rsidRPr="00D365BA" w:rsidRDefault="00D365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eleştirel teoriyi eleştirel düşünce ve düşünme ile iliişkilendirebilmektedir.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0310E04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468648E3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D365BA" w:rsidRPr="00D06EFA" w14:paraId="6823BBF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62644321" w14:textId="3DEFC0FC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1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3B702992" w14:textId="2828ACD9" w:rsidR="00D365BA" w:rsidRPr="00D365BA" w:rsidRDefault="00D365B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 xml:space="preserve">dört düşünceyi sentezleyerek özgün bakış açıları için kısa yorumlar yazabilmektedir.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8F7A50C" w14:textId="192D6DE9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 &amp; 11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F83A37D" w14:textId="2E8DCB15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>5 &amp; 4 &amp; 4</w:t>
            </w:r>
          </w:p>
        </w:tc>
      </w:tr>
      <w:tr w:rsidR="00D365BA" w:rsidRPr="00D06EFA" w14:paraId="787ADE2F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E121B3" w14:textId="77777777" w:rsidR="00D365BA" w:rsidRPr="00D06EFA" w:rsidRDefault="00D365BA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29D6D1E1" w14:textId="1CAAA6F0" w:rsidR="00D365BA" w:rsidRPr="00D06EF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1"/>
            <w:shd w:val="clear" w:color="auto" w:fill="auto"/>
          </w:tcPr>
          <w:p w14:paraId="313E7656" w14:textId="7CF101D2" w:rsidR="00D365BA" w:rsidRPr="00D365BA" w:rsidRDefault="00D365B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kendi bakış açısını ve karşı bakış açılarını çerçevesinde kısa eleştirel yorumlar yazabilmektedir.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auto"/>
          </w:tcPr>
          <w:p w14:paraId="444E93AA" w14:textId="5819EB06" w:rsidR="00D365BA" w:rsidRPr="00D365BA" w:rsidRDefault="00D365BA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65BA">
              <w:rPr>
                <w:rFonts w:ascii="Arial" w:hAnsi="Arial" w:cs="Arial"/>
                <w:sz w:val="22"/>
                <w:szCs w:val="22"/>
              </w:rPr>
              <w:t>5 &amp; 4 &amp; 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auto"/>
          </w:tcPr>
          <w:p w14:paraId="1583B31B" w14:textId="1C98BDAC" w:rsidR="00D365BA" w:rsidRPr="00D365BA" w:rsidRDefault="00D365B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365BA">
              <w:rPr>
                <w:rFonts w:ascii="Arial" w:hAnsi="Arial" w:cs="Arial"/>
                <w:b w:val="0"/>
                <w:sz w:val="22"/>
                <w:szCs w:val="22"/>
              </w:rPr>
              <w:t>5 &amp; 5 &amp; 4</w:t>
            </w:r>
          </w:p>
        </w:tc>
      </w:tr>
      <w:tr w:rsidR="001B5C97" w:rsidRPr="00D06EFA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D06EFA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67D0155" w:rsidR="001B5C97" w:rsidRPr="00DC26CB" w:rsidRDefault="00DC26CB" w:rsidP="000437A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DC26CB">
              <w:rPr>
                <w:rFonts w:ascii="Arial" w:hAnsi="Arial" w:cs="Arial"/>
                <w:b w:val="0"/>
                <w:sz w:val="22"/>
                <w:szCs w:val="22"/>
              </w:rPr>
              <w:t>Bu ders</w:t>
            </w:r>
            <w:r w:rsidR="009620A5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Pr="00DC26CB">
              <w:rPr>
                <w:rFonts w:ascii="Arial" w:hAnsi="Arial" w:cs="Arial"/>
                <w:b w:val="0"/>
                <w:sz w:val="22"/>
                <w:szCs w:val="22"/>
              </w:rPr>
              <w:t xml:space="preserve"> fiziksel ve sosyal dünyayı açıklamak ve öngörmek için kullanılan işlevselci varsayım ve yöntemler ile bunları eleştiren tüm diğer paradigmaları karşılaştırmalı olarak analiz etmekte</w:t>
            </w:r>
            <w:r w:rsidR="001A7D0C">
              <w:rPr>
                <w:rFonts w:ascii="Arial" w:hAnsi="Arial" w:cs="Arial"/>
                <w:b w:val="0"/>
                <w:sz w:val="22"/>
                <w:szCs w:val="22"/>
              </w:rPr>
              <w:t xml:space="preserve"> ve anaakım ve alternatif hukuk düşünce</w:t>
            </w:r>
            <w:r w:rsidR="001250F5">
              <w:rPr>
                <w:rFonts w:ascii="Arial" w:hAnsi="Arial" w:cs="Arial"/>
                <w:b w:val="0"/>
                <w:sz w:val="22"/>
                <w:szCs w:val="22"/>
              </w:rPr>
              <w:t>lerini</w:t>
            </w:r>
            <w:r w:rsidR="001A7D0C">
              <w:rPr>
                <w:rFonts w:ascii="Arial" w:hAnsi="Arial" w:cs="Arial"/>
                <w:b w:val="0"/>
                <w:sz w:val="22"/>
                <w:szCs w:val="22"/>
              </w:rPr>
              <w:t xml:space="preserve"> sosyal, politik</w:t>
            </w:r>
            <w:r w:rsidR="000437AD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1A7D0C">
              <w:rPr>
                <w:rFonts w:ascii="Arial" w:hAnsi="Arial" w:cs="Arial"/>
                <w:b w:val="0"/>
                <w:sz w:val="22"/>
                <w:szCs w:val="22"/>
              </w:rPr>
              <w:t xml:space="preserve"> ekonomik </w:t>
            </w:r>
            <w:r w:rsidR="000437AD">
              <w:rPr>
                <w:rFonts w:ascii="Arial" w:hAnsi="Arial" w:cs="Arial"/>
                <w:b w:val="0"/>
                <w:sz w:val="22"/>
                <w:szCs w:val="22"/>
              </w:rPr>
              <w:t xml:space="preserve">ve hukuksal </w:t>
            </w:r>
            <w:r w:rsidR="001A7D0C">
              <w:rPr>
                <w:rFonts w:ascii="Arial" w:hAnsi="Arial" w:cs="Arial"/>
                <w:b w:val="0"/>
                <w:sz w:val="22"/>
                <w:szCs w:val="22"/>
              </w:rPr>
              <w:t>gerçeklik ile karşılaştırmakt</w:t>
            </w:r>
            <w:r w:rsidR="00E32F4E">
              <w:rPr>
                <w:rFonts w:ascii="Arial" w:hAnsi="Arial" w:cs="Arial"/>
                <w:b w:val="0"/>
                <w:sz w:val="22"/>
                <w:szCs w:val="22"/>
              </w:rPr>
              <w:t>adı</w:t>
            </w:r>
            <w:r w:rsidR="001A7D0C">
              <w:rPr>
                <w:rFonts w:ascii="Arial" w:hAnsi="Arial" w:cs="Arial"/>
                <w:b w:val="0"/>
                <w:sz w:val="22"/>
                <w:szCs w:val="22"/>
              </w:rPr>
              <w:t>r.</w:t>
            </w:r>
          </w:p>
        </w:tc>
      </w:tr>
      <w:tr w:rsidR="003360EF" w:rsidRPr="00D06EFA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D06EFA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D06EFA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D06EFA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D06EFA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D06EFA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D06EFA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D06EFA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A8296C" w:rsidRPr="00D06EFA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4CC048EC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Sosyal Bilimlere İlişkin Üst Varsayımlar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236AFFE" w:rsidR="00A8296C" w:rsidRPr="00A8296C" w:rsidRDefault="00A829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45BCB23F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1E7C2481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Topluma İlişkin Üst Varsayımlar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2CCA5B4F" w:rsidR="00A8296C" w:rsidRPr="00A8296C" w:rsidRDefault="00A829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0F36463E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7575F1BC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Boyut:Öznellik/Nesnellik Ekseni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2FE80379" w:rsidR="00A8296C" w:rsidRPr="00A8296C" w:rsidRDefault="00A829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32FBCEB0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6A2FA809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İki Boyut:Düzen/Çatışma Ekseni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7235B32F" w:rsidR="00A8296C" w:rsidRPr="00A8296C" w:rsidRDefault="00A829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46AE7DDB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57B46F56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Dört Paradigma: Makro Bir Yaklaşım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2A4399B9" w:rsidR="00A8296C" w:rsidRPr="00A8296C" w:rsidRDefault="00A829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1.3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3AF9D94D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3C14957E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5C23742" w:rsidR="00A8296C" w:rsidRPr="00A8296C" w:rsidRDefault="00A829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728C877E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A8296C" w:rsidRPr="00D06EFA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A8296C" w:rsidRPr="00D06EFA" w:rsidRDefault="00A8296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19760CD9" w:rsidR="00A8296C" w:rsidRPr="00A8296C" w:rsidRDefault="00A8296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49A38965" w:rsidR="00A8296C" w:rsidRPr="00A8296C" w:rsidRDefault="00A8296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8296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63390DCE" w:rsidR="00A8296C" w:rsidRPr="00A8296C" w:rsidRDefault="00A8296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296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3360EF" w:rsidRPr="00D06EFA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D06EFA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D06EFA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E504870" w:rsidR="003360EF" w:rsidRPr="00D06EFA" w:rsidRDefault="00A8296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</w:t>
            </w:r>
            <w:r w:rsidR="002D099C">
              <w:rPr>
                <w:rFonts w:ascii="Arial" w:hAnsi="Arial" w:cs="Arial"/>
                <w:sz w:val="22"/>
                <w:szCs w:val="22"/>
              </w:rPr>
              <w:t>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75C45A6" w:rsidR="003360EF" w:rsidRPr="000B22AF" w:rsidRDefault="00D06EFA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2D099C" w:rsidRPr="00D06EFA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2D099C" w:rsidRPr="00D06EFA" w:rsidRDefault="002D099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BDACA91" w:rsidR="002D099C" w:rsidRPr="00D06EFA" w:rsidRDefault="002D09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59E8F062" w:rsidR="002D099C" w:rsidRPr="000B22AF" w:rsidRDefault="002D099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22AF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75BC" w:rsidRPr="00D06EFA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1D2A926F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14A4AABF" w:rsidR="007C75BC" w:rsidRPr="007C75BC" w:rsidRDefault="007C75B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3A89988A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64E6B6E7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Eleştirinin Konusu:İşlevselci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5F91F9C4" w:rsidR="007C75BC" w:rsidRPr="007C75BC" w:rsidRDefault="007C75B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5660613C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0A1EEDAE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Yorumcu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56045C09" w:rsidR="007C75BC" w:rsidRPr="007C75BC" w:rsidRDefault="007C75B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7376A08F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304601A1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Hümanist Paradigma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46920322" w:rsidR="007C75BC" w:rsidRPr="007C75BC" w:rsidRDefault="007C75B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9A02E29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6180EFE1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</w:rPr>
              <w:t>İşlevselciliğin Eleştirisi: Radikal Yapısalcı Paradigma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74F76B49" w:rsidR="007C75BC" w:rsidRPr="007C75BC" w:rsidRDefault="007C75B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57018F44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04EB3921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Eleştirel Teori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1D4B8793" w:rsidR="007C75BC" w:rsidRPr="007C75BC" w:rsidRDefault="007C75B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Part 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1DC9F319" w:rsidR="007C75BC" w:rsidRPr="007C75BC" w:rsidRDefault="007C75BC" w:rsidP="00A8296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7C75BC" w:rsidRPr="00D06EFA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C75BC" w:rsidRPr="00D06EFA" w:rsidRDefault="007C75B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2BECDE61" w:rsidR="007C75BC" w:rsidRPr="007C75BC" w:rsidRDefault="007C75B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Anaakım Bilimsel Araştırmada Dogmatik Önyargılar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00C67646" w:rsidR="007C75BC" w:rsidRPr="007C75BC" w:rsidRDefault="007C75B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C75BC">
              <w:rPr>
                <w:rFonts w:ascii="Arial" w:hAnsi="Arial" w:cs="Arial"/>
                <w:sz w:val="22"/>
                <w:szCs w:val="22"/>
                <w:lang w:val="en-US"/>
              </w:rPr>
              <w:t>Nitelikli Makaleler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DC6B64E" w:rsidR="007C75BC" w:rsidRPr="007C75BC" w:rsidRDefault="007C75BC" w:rsidP="007C75B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C75BC">
              <w:rPr>
                <w:rFonts w:ascii="Arial" w:hAnsi="Arial" w:cs="Arial"/>
                <w:b w:val="0"/>
                <w:sz w:val="22"/>
                <w:szCs w:val="22"/>
              </w:rPr>
              <w:t>Öğretici Anlatımı ve Grup Tartışmaları</w:t>
            </w:r>
          </w:p>
        </w:tc>
      </w:tr>
      <w:tr w:rsidR="002D099C" w:rsidRPr="00D06EFA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2D099C" w:rsidRPr="00D06EFA" w:rsidRDefault="002D099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08A60783" w:rsidR="002D099C" w:rsidRPr="00D06EFA" w:rsidRDefault="002D099C" w:rsidP="007C75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85ABBD6" w:rsidR="002D099C" w:rsidRPr="00D47A37" w:rsidRDefault="002D099C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2D099C" w:rsidRPr="00D06EFA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2D099C" w:rsidRPr="00D06EFA" w:rsidRDefault="002D099C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D06EFA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9547973" w:rsidR="002D099C" w:rsidRPr="00D06EFA" w:rsidRDefault="002D099C" w:rsidP="007C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2BE4F196" w:rsidR="002D099C" w:rsidRPr="00D47A37" w:rsidRDefault="002D099C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47A3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2D099C" w:rsidRPr="00D06EFA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2D099C" w:rsidRPr="00D06EFA" w:rsidRDefault="002D099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7C75BC" w:rsidRPr="00D06EFA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7C75BC" w:rsidRPr="00D06EFA" w:rsidRDefault="007C75BC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126FE5C6" w:rsidR="007C75BC" w:rsidRPr="007C75BC" w:rsidRDefault="00BF7528" w:rsidP="00A17CE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“</w:t>
            </w:r>
            <w:r w:rsidR="007C75BC" w:rsidRPr="007C75B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Sociological Paradigms and Organisational Analysis: Elements of the Sociology of Corporate Life</w:t>
            </w: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”</w:t>
            </w:r>
            <w:r w:rsidR="007C75BC" w:rsidRPr="007C75B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, Gibson Burrell&amp;Garreth Morgan, Routledge, 2019.</w:t>
            </w:r>
          </w:p>
        </w:tc>
      </w:tr>
      <w:tr w:rsidR="00A17CEF" w:rsidRPr="00D06EFA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A17CEF" w:rsidRPr="00D06EFA" w:rsidRDefault="00A17C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3A513F7E" w:rsidR="00A17CEF" w:rsidRPr="007C75BC" w:rsidRDefault="00BF7528" w:rsidP="00A17CE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="00A17CEF" w:rsidRPr="00EF37CB">
              <w:rPr>
                <w:rFonts w:ascii="Arial" w:hAnsi="Arial" w:cs="Arial"/>
                <w:b w:val="0"/>
                <w:sz w:val="22"/>
                <w:szCs w:val="22"/>
              </w:rPr>
              <w:t>The Great Transformation: The Political and Economic Origins of Our Time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”</w:t>
            </w:r>
            <w:r w:rsidR="00A17CEF" w:rsidRPr="00EF37CB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A17CEF">
              <w:rPr>
                <w:rFonts w:ascii="Arial" w:hAnsi="Arial" w:cs="Arial"/>
                <w:b w:val="0"/>
                <w:sz w:val="22"/>
                <w:szCs w:val="22"/>
              </w:rPr>
              <w:t xml:space="preserve">Polanyi, Karl, </w:t>
            </w:r>
            <w:r w:rsidR="00A17CEF" w:rsidRPr="00EF37CB">
              <w:rPr>
                <w:rFonts w:ascii="Arial" w:hAnsi="Arial" w:cs="Arial"/>
                <w:b w:val="0"/>
                <w:sz w:val="22"/>
                <w:szCs w:val="22"/>
              </w:rPr>
              <w:t>Beacon Press</w:t>
            </w:r>
            <w:r w:rsidR="00A17CEF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A17CEF" w:rsidRPr="00EF37CB">
              <w:rPr>
                <w:rFonts w:ascii="Arial" w:hAnsi="Arial" w:cs="Arial"/>
                <w:b w:val="0"/>
                <w:sz w:val="22"/>
                <w:szCs w:val="22"/>
              </w:rPr>
              <w:t xml:space="preserve"> Boston, Massachusetts.</w:t>
            </w:r>
          </w:p>
        </w:tc>
      </w:tr>
      <w:tr w:rsidR="002D099C" w:rsidRPr="00D06EFA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2D099C" w:rsidRPr="00D06EFA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2D099C" w:rsidRPr="00D06EFA" w:rsidRDefault="002D099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2D099C" w:rsidRPr="00D06EFA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4394B976" w:rsidR="002D099C" w:rsidRPr="000B22AF" w:rsidRDefault="00DD1B3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  <w:r w:rsidR="002D099C" w:rsidRPr="000B22AF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085D9B42" w14:textId="77777777" w:rsidTr="00020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113E797D" w14:textId="073AE191" w:rsidR="002D099C" w:rsidRPr="001604C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604CA">
              <w:rPr>
                <w:rFonts w:ascii="Arial" w:hAnsi="Arial" w:cs="Arial"/>
                <w:b w:val="0"/>
                <w:sz w:val="22"/>
                <w:szCs w:val="22"/>
              </w:rPr>
              <w:t>Küçük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24C7599F" w14:textId="6FA5560A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EC5FEDC" w14:textId="627E86C4" w:rsidR="002D099C" w:rsidRPr="000B22AF" w:rsidRDefault="00DD1B3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bookmarkStart w:id="0" w:name="_GoBack"/>
            <w:bookmarkEnd w:id="0"/>
            <w:r w:rsidR="002D099C" w:rsidRPr="000B22AF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</w:tcPr>
          <w:p w14:paraId="5CCEE615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EFD8A18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85A7AC4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224AE09" w:rsidR="002D099C" w:rsidRPr="000B22AF" w:rsidRDefault="002D099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32E12C91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14355A6D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DDAC231" w:rsidR="002D099C" w:rsidRPr="000B22AF" w:rsidRDefault="002D099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51774DDD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2C58AD4A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0FCC167" w:rsidR="002D099C" w:rsidRPr="000B22AF" w:rsidRDefault="002D099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20FBA075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5B947E3C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6ABB9A43" w:rsidR="002D099C" w:rsidRPr="000B22AF" w:rsidRDefault="002D099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1CF3E1D3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1872788A" w14:textId="3A19EDB5" w:rsidR="002D099C" w:rsidRPr="000B22AF" w:rsidRDefault="002D09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7A86F748" w14:textId="0FC10BC7" w:rsidR="002D099C" w:rsidRPr="000B22AF" w:rsidRDefault="002D099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B22AF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2D099C" w:rsidRPr="00D06EFA" w:rsidRDefault="002D099C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D099C" w:rsidRPr="00D06EFA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2D099C" w:rsidRPr="00D06EFA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2D099C" w:rsidRPr="00D06EFA" w:rsidRDefault="002D099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D06EFA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2D099C" w:rsidRPr="00D06EFA" w:rsidRDefault="002D099C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383C9F" w:rsidRPr="00D06EFA" w14:paraId="7CF7705B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383C9F" w:rsidRPr="00D06EFA" w:rsidRDefault="00383C9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7D08D701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7AFD4EAA" w:rsidR="00383C9F" w:rsidRPr="00D06EFA" w:rsidRDefault="00383C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7437FB13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383C9F" w:rsidRPr="00D06EFA" w14:paraId="027A0400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383C9F" w:rsidRPr="00D06EFA" w:rsidRDefault="00383C9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20188A7E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6CA3061E" w:rsidR="00383C9F" w:rsidRPr="00D06EFA" w:rsidRDefault="00383C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9A27C68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</w:tr>
      <w:tr w:rsidR="00383C9F" w:rsidRPr="00D06EFA" w14:paraId="181CEA79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34FE105B" w14:textId="5405C2C2" w:rsidR="00383C9F" w:rsidRPr="003E5670" w:rsidRDefault="00383C9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E5670">
              <w:rPr>
                <w:rFonts w:ascii="Arial" w:hAnsi="Arial" w:cs="Arial"/>
                <w:b w:val="0"/>
                <w:sz w:val="22"/>
                <w:szCs w:val="22"/>
              </w:rPr>
              <w:t>Küçük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1C634A0" w14:textId="526F29D8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7BDD8F20" w14:textId="146A79F7" w:rsidR="00383C9F" w:rsidRPr="00D06EFA" w:rsidRDefault="00383C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DC8B6E2" w14:textId="4A5E3AD8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83C9F" w:rsidRPr="00D06EFA" w14:paraId="77B71221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383C9F" w:rsidRPr="00D06EFA" w:rsidRDefault="00383C9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6BBD6934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4D1C391E" w:rsidR="00383C9F" w:rsidRPr="00D06EFA" w:rsidRDefault="00383C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6CBDF214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83C9F" w:rsidRPr="00D06EFA" w14:paraId="0A7C265A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383C9F" w:rsidRPr="00D06EFA" w:rsidRDefault="00383C9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788769EE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4DE35FD" w:rsidR="00383C9F" w:rsidRPr="00D06EFA" w:rsidRDefault="00383C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0EFA18E0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83C9F" w:rsidRPr="00D06EFA" w14:paraId="49E42C5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77777777" w:rsidR="00383C9F" w:rsidRPr="00D06EFA" w:rsidRDefault="00383C9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281A7E01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6A6CCCE3" w:rsidR="00383C9F" w:rsidRPr="00D06EFA" w:rsidRDefault="00383C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0B6816F8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383C9F" w:rsidRPr="00D06EFA" w14:paraId="1118CB0F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2B0AD1B5" w:rsidR="00383C9F" w:rsidRPr="00D06EFA" w:rsidRDefault="00383C9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 xml:space="preserve">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1BAEAE93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2388F377" w:rsidR="00383C9F" w:rsidRPr="00D06EFA" w:rsidRDefault="00383C9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4CA22152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383C9F" w:rsidRPr="00D06EFA" w14:paraId="20B1C7F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383C9F" w:rsidRPr="00D06EFA" w:rsidRDefault="00383C9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2D7D3701" w:rsidR="00383C9F" w:rsidRPr="00D06EFA" w:rsidRDefault="00383C9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0B718855" w:rsidR="00383C9F" w:rsidRPr="00D06EFA" w:rsidRDefault="00383C9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D6AB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003344D9" w:rsidR="00383C9F" w:rsidRPr="00D06EFA" w:rsidRDefault="00383C9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383C9F" w:rsidRPr="00D06EFA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83C9F" w:rsidRPr="00D06EFA" w:rsidRDefault="00383C9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0E61F94F" w:rsidR="00383C9F" w:rsidRPr="00D06EFA" w:rsidRDefault="00383C9F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93</w:t>
            </w:r>
          </w:p>
        </w:tc>
      </w:tr>
      <w:tr w:rsidR="00383C9F" w:rsidRPr="00D06EFA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83C9F" w:rsidRPr="00D06EFA" w:rsidRDefault="00383C9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01CA6A07" w:rsidR="00383C9F" w:rsidRPr="00D06EFA" w:rsidRDefault="00383C9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 xml:space="preserve"> 93/30=3,10</w:t>
            </w:r>
          </w:p>
        </w:tc>
      </w:tr>
      <w:tr w:rsidR="00383C9F" w:rsidRPr="00D06EFA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83C9F" w:rsidRPr="00D06EFA" w:rsidRDefault="00383C9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75CAFC2" w:rsidR="00383C9F" w:rsidRPr="00D06EFA" w:rsidRDefault="00383C9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D6AB6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4D11BCC7" w14:textId="3945115E" w:rsidR="003237AD" w:rsidRPr="00D06EFA" w:rsidRDefault="003237AD">
      <w:pPr>
        <w:rPr>
          <w:sz w:val="22"/>
          <w:szCs w:val="22"/>
        </w:rPr>
      </w:pPr>
    </w:p>
    <w:p w14:paraId="29B80FCD" w14:textId="77777777" w:rsidR="003237AD" w:rsidRPr="00D06EFA" w:rsidRDefault="003237AD">
      <w:pPr>
        <w:rPr>
          <w:sz w:val="22"/>
          <w:szCs w:val="22"/>
        </w:rPr>
      </w:pPr>
      <w:r w:rsidRPr="00D06EFA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06EFA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D06EFA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D06EFA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D06EFA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3FDD638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D06EF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54EB2218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D06EFA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D06EFA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7DD38124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D06EFA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6A562C2E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F34D6" w:rsidRPr="00D06EFA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D06EFA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281E3672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D06EFA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D06EFA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33ADB5D7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D06EFA" w:rsidRDefault="003A4CE2">
      <w:pPr>
        <w:rPr>
          <w:sz w:val="22"/>
          <w:szCs w:val="22"/>
        </w:rPr>
      </w:pPr>
    </w:p>
    <w:sectPr w:rsidR="003A4CE2" w:rsidRPr="00D06EFA" w:rsidSect="005A2B8A">
      <w:headerReference w:type="default" r:id="rId14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D7081" w14:textId="77777777" w:rsidR="00882459" w:rsidRDefault="00882459" w:rsidP="0034027E">
      <w:r>
        <w:separator/>
      </w:r>
    </w:p>
  </w:endnote>
  <w:endnote w:type="continuationSeparator" w:id="0">
    <w:p w14:paraId="0704F6B3" w14:textId="77777777" w:rsidR="00882459" w:rsidRDefault="0088245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5F69F" w14:textId="77777777" w:rsidR="00882459" w:rsidRDefault="00882459" w:rsidP="0034027E">
      <w:r>
        <w:separator/>
      </w:r>
    </w:p>
  </w:footnote>
  <w:footnote w:type="continuationSeparator" w:id="0">
    <w:p w14:paraId="4092DC49" w14:textId="77777777" w:rsidR="00882459" w:rsidRDefault="0088245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B64A0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437AD"/>
    <w:rsid w:val="00051842"/>
    <w:rsid w:val="00052E53"/>
    <w:rsid w:val="00085AD5"/>
    <w:rsid w:val="00090AED"/>
    <w:rsid w:val="000A4453"/>
    <w:rsid w:val="000B22AF"/>
    <w:rsid w:val="000D384E"/>
    <w:rsid w:val="000F34D6"/>
    <w:rsid w:val="00101AE2"/>
    <w:rsid w:val="00102701"/>
    <w:rsid w:val="001250F5"/>
    <w:rsid w:val="00146F98"/>
    <w:rsid w:val="001604CA"/>
    <w:rsid w:val="001639F7"/>
    <w:rsid w:val="001738BC"/>
    <w:rsid w:val="0017773A"/>
    <w:rsid w:val="0019361E"/>
    <w:rsid w:val="001A1304"/>
    <w:rsid w:val="001A7816"/>
    <w:rsid w:val="001A7D0C"/>
    <w:rsid w:val="001B0A2E"/>
    <w:rsid w:val="001B5381"/>
    <w:rsid w:val="001B5C97"/>
    <w:rsid w:val="001C7F25"/>
    <w:rsid w:val="001D3D43"/>
    <w:rsid w:val="001D4974"/>
    <w:rsid w:val="001F6F6B"/>
    <w:rsid w:val="00200197"/>
    <w:rsid w:val="00201DA8"/>
    <w:rsid w:val="00212A30"/>
    <w:rsid w:val="00233A78"/>
    <w:rsid w:val="002540BC"/>
    <w:rsid w:val="00264E5A"/>
    <w:rsid w:val="0027165B"/>
    <w:rsid w:val="002916C3"/>
    <w:rsid w:val="002B4AEF"/>
    <w:rsid w:val="002B7787"/>
    <w:rsid w:val="002D099C"/>
    <w:rsid w:val="002D29FC"/>
    <w:rsid w:val="002E1928"/>
    <w:rsid w:val="002E660C"/>
    <w:rsid w:val="00306F03"/>
    <w:rsid w:val="0031763C"/>
    <w:rsid w:val="003237AD"/>
    <w:rsid w:val="003311C4"/>
    <w:rsid w:val="00332E3E"/>
    <w:rsid w:val="003360EF"/>
    <w:rsid w:val="0034027E"/>
    <w:rsid w:val="003432AB"/>
    <w:rsid w:val="00345DF1"/>
    <w:rsid w:val="003537D4"/>
    <w:rsid w:val="003635E6"/>
    <w:rsid w:val="00366E3B"/>
    <w:rsid w:val="00373163"/>
    <w:rsid w:val="00383C9F"/>
    <w:rsid w:val="003923D0"/>
    <w:rsid w:val="003A0CE5"/>
    <w:rsid w:val="003A4CE2"/>
    <w:rsid w:val="003A7B12"/>
    <w:rsid w:val="003C2122"/>
    <w:rsid w:val="003E396C"/>
    <w:rsid w:val="003E5670"/>
    <w:rsid w:val="004241CE"/>
    <w:rsid w:val="0042441A"/>
    <w:rsid w:val="004347B1"/>
    <w:rsid w:val="0044663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6314"/>
    <w:rsid w:val="004E15BB"/>
    <w:rsid w:val="004E5EFB"/>
    <w:rsid w:val="004F6D65"/>
    <w:rsid w:val="005215FA"/>
    <w:rsid w:val="005221D8"/>
    <w:rsid w:val="0054597B"/>
    <w:rsid w:val="005546F5"/>
    <w:rsid w:val="005726A0"/>
    <w:rsid w:val="00580094"/>
    <w:rsid w:val="005920FF"/>
    <w:rsid w:val="005A2B8A"/>
    <w:rsid w:val="005B2EBB"/>
    <w:rsid w:val="005C15A7"/>
    <w:rsid w:val="005F70D3"/>
    <w:rsid w:val="00600586"/>
    <w:rsid w:val="0060178F"/>
    <w:rsid w:val="00601BED"/>
    <w:rsid w:val="00612FE4"/>
    <w:rsid w:val="00621099"/>
    <w:rsid w:val="006241B7"/>
    <w:rsid w:val="00635121"/>
    <w:rsid w:val="00636DEF"/>
    <w:rsid w:val="00642ED5"/>
    <w:rsid w:val="006478DA"/>
    <w:rsid w:val="00681162"/>
    <w:rsid w:val="0068518F"/>
    <w:rsid w:val="006A2DEE"/>
    <w:rsid w:val="006A6D82"/>
    <w:rsid w:val="006E725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5BC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2459"/>
    <w:rsid w:val="00883290"/>
    <w:rsid w:val="00884652"/>
    <w:rsid w:val="00886770"/>
    <w:rsid w:val="00895E2A"/>
    <w:rsid w:val="008A022E"/>
    <w:rsid w:val="008B4740"/>
    <w:rsid w:val="008D4F25"/>
    <w:rsid w:val="00902FEC"/>
    <w:rsid w:val="00905CD0"/>
    <w:rsid w:val="00911FE6"/>
    <w:rsid w:val="00916141"/>
    <w:rsid w:val="00933B97"/>
    <w:rsid w:val="0095080C"/>
    <w:rsid w:val="009620A5"/>
    <w:rsid w:val="00964CAF"/>
    <w:rsid w:val="00973A60"/>
    <w:rsid w:val="00974ABD"/>
    <w:rsid w:val="00985E0F"/>
    <w:rsid w:val="00997C36"/>
    <w:rsid w:val="009B47D2"/>
    <w:rsid w:val="009C5DE7"/>
    <w:rsid w:val="009E445E"/>
    <w:rsid w:val="00A12D67"/>
    <w:rsid w:val="00A134B5"/>
    <w:rsid w:val="00A17CEF"/>
    <w:rsid w:val="00A33F69"/>
    <w:rsid w:val="00A342C2"/>
    <w:rsid w:val="00A3554C"/>
    <w:rsid w:val="00A37618"/>
    <w:rsid w:val="00A53C2A"/>
    <w:rsid w:val="00A566C4"/>
    <w:rsid w:val="00A711BC"/>
    <w:rsid w:val="00A7625D"/>
    <w:rsid w:val="00A8032C"/>
    <w:rsid w:val="00A8173B"/>
    <w:rsid w:val="00A8296C"/>
    <w:rsid w:val="00B03B19"/>
    <w:rsid w:val="00B06EC6"/>
    <w:rsid w:val="00B31544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BF7528"/>
    <w:rsid w:val="00C328F9"/>
    <w:rsid w:val="00C37559"/>
    <w:rsid w:val="00C4036D"/>
    <w:rsid w:val="00C406C9"/>
    <w:rsid w:val="00C56651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400"/>
    <w:rsid w:val="00CE0683"/>
    <w:rsid w:val="00CE2529"/>
    <w:rsid w:val="00D02BE1"/>
    <w:rsid w:val="00D06EFA"/>
    <w:rsid w:val="00D15971"/>
    <w:rsid w:val="00D15B1F"/>
    <w:rsid w:val="00D24AE5"/>
    <w:rsid w:val="00D365BA"/>
    <w:rsid w:val="00D379D7"/>
    <w:rsid w:val="00D41B6B"/>
    <w:rsid w:val="00D47A37"/>
    <w:rsid w:val="00D525A3"/>
    <w:rsid w:val="00D64B09"/>
    <w:rsid w:val="00D653F3"/>
    <w:rsid w:val="00D86D4D"/>
    <w:rsid w:val="00DA3803"/>
    <w:rsid w:val="00DB0AEA"/>
    <w:rsid w:val="00DC07E8"/>
    <w:rsid w:val="00DC26CB"/>
    <w:rsid w:val="00DD0194"/>
    <w:rsid w:val="00DD1B31"/>
    <w:rsid w:val="00DF1767"/>
    <w:rsid w:val="00E02DF5"/>
    <w:rsid w:val="00E23222"/>
    <w:rsid w:val="00E255A0"/>
    <w:rsid w:val="00E268B9"/>
    <w:rsid w:val="00E32F4E"/>
    <w:rsid w:val="00E46F3F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C6C4E"/>
    <w:rsid w:val="00ED3D23"/>
    <w:rsid w:val="00ED5384"/>
    <w:rsid w:val="00EF0908"/>
    <w:rsid w:val="00F04A29"/>
    <w:rsid w:val="00F107BF"/>
    <w:rsid w:val="00F161E0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3EA6"/>
    <w:rsid w:val="00FC6B48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rsid w:val="004B631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rsid w:val="004B631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LAW 146 Eleştirel Düşünme 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25</c:v>
                </c:pt>
                <c:pt idx="4">
                  <c:v>21</c:v>
                </c:pt>
                <c:pt idx="5">
                  <c:v>13</c:v>
                </c:pt>
                <c:pt idx="6">
                  <c:v>7</c:v>
                </c:pt>
                <c:pt idx="7">
                  <c:v>8</c:v>
                </c:pt>
                <c:pt idx="8">
                  <c:v>3</c:v>
                </c:pt>
                <c:pt idx="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921600"/>
        <c:axId val="145384576"/>
      </c:barChart>
      <c:catAx>
        <c:axId val="1769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384576"/>
        <c:crosses val="autoZero"/>
        <c:auto val="1"/>
        <c:lblAlgn val="ctr"/>
        <c:lblOffset val="100"/>
        <c:noMultiLvlLbl val="0"/>
      </c:catAx>
      <c:valAx>
        <c:axId val="14538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92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Eleştirel Düşünme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315840"/>
        <c:axId val="145386880"/>
      </c:barChart>
      <c:catAx>
        <c:axId val="20931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386880"/>
        <c:crosses val="autoZero"/>
        <c:auto val="1"/>
        <c:lblAlgn val="ctr"/>
        <c:lblOffset val="100"/>
        <c:noMultiLvlLbl val="0"/>
      </c:catAx>
      <c:valAx>
        <c:axId val="14538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31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Eleştirel Düşünme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317376"/>
        <c:axId val="145388032"/>
      </c:barChart>
      <c:catAx>
        <c:axId val="20931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388032"/>
        <c:crosses val="autoZero"/>
        <c:auto val="1"/>
        <c:lblAlgn val="ctr"/>
        <c:lblOffset val="100"/>
        <c:noMultiLvlLbl val="0"/>
      </c:catAx>
      <c:valAx>
        <c:axId val="14538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317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2026-2027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Eleştirel Düşünme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316352"/>
        <c:axId val="145389760"/>
      </c:barChart>
      <c:catAx>
        <c:axId val="20931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5389760"/>
        <c:crosses val="autoZero"/>
        <c:auto val="1"/>
        <c:lblAlgn val="ctr"/>
        <c:lblOffset val="100"/>
        <c:noMultiLvlLbl val="0"/>
      </c:catAx>
      <c:valAx>
        <c:axId val="14538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31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Eleştirel Düşünme </a:t>
            </a:r>
            <a:endParaRPr lang="tr-TR" sz="1100">
              <a:effectLst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6577536"/>
        <c:axId val="208363520"/>
      </c:barChart>
      <c:catAx>
        <c:axId val="17657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363520"/>
        <c:crosses val="autoZero"/>
        <c:auto val="1"/>
        <c:lblAlgn val="ctr"/>
        <c:lblOffset val="100"/>
        <c:noMultiLvlLbl val="0"/>
      </c:catAx>
      <c:valAx>
        <c:axId val="20836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57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LAW 146 Eleştirel Düşünm</a:t>
            </a:r>
            <a:r>
              <a:rPr lang="tr-TR" sz="1800" b="0" i="0" baseline="0">
                <a:effectLst/>
              </a:rPr>
              <a:t>e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9316864"/>
        <c:axId val="208365824"/>
      </c:barChart>
      <c:catAx>
        <c:axId val="20931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8365824"/>
        <c:crosses val="autoZero"/>
        <c:auto val="1"/>
        <c:lblAlgn val="ctr"/>
        <c:lblOffset val="100"/>
        <c:noMultiLvlLbl val="0"/>
      </c:catAx>
      <c:valAx>
        <c:axId val="208365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0931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31</cp:revision>
  <dcterms:created xsi:type="dcterms:W3CDTF">2025-09-16T12:23:00Z</dcterms:created>
  <dcterms:modified xsi:type="dcterms:W3CDTF">2026-02-27T12:07:00Z</dcterms:modified>
</cp:coreProperties>
</file>