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A5DBD" w:rsidRPr="00183415" w:rsidTr="002F69CF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 AND  ADMINISTRATIVE SCIENCES</w:t>
            </w:r>
          </w:p>
        </w:tc>
      </w:tr>
      <w:tr w:rsidR="003A5DBD" w:rsidRPr="00183415" w:rsidTr="002F69CF">
        <w:tc>
          <w:tcPr>
            <w:tcW w:w="1995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A5DBD" w:rsidTr="002F69CF">
        <w:tc>
          <w:tcPr>
            <w:tcW w:w="1995" w:type="dxa"/>
            <w:gridSpan w:val="4"/>
            <w:shd w:val="clear" w:color="auto" w:fill="auto"/>
          </w:tcPr>
          <w:p w:rsidR="003A5DBD" w:rsidRPr="00183415" w:rsidRDefault="005324F0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  <w:shd w:val="clear" w:color="auto" w:fill="FFFFFF"/>
              </w:rPr>
              <w:t>MAN-586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3A5DBD" w:rsidRPr="00183415" w:rsidRDefault="0076754A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</w:t>
            </w:r>
            <w:r w:rsidR="003A5DBD" w:rsidRPr="001834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5324F0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3A5DBD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English</w:t>
            </w:r>
            <w:r w:rsidRPr="001834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 to face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E72C6A" w:rsidP="0020131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Elective</w:t>
            </w:r>
            <w:r w:rsidR="003A5D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3A5DBD" w:rsidRPr="000633BD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5F3A5A" w:rsidP="002F6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Ass</w:t>
            </w:r>
            <w:r w:rsidR="00583EE4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  <w:r w:rsidR="00583EE4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="00583EE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583E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269">
              <w:rPr>
                <w:rFonts w:ascii="Arial" w:hAnsi="Arial" w:cs="Arial"/>
                <w:sz w:val="20"/>
                <w:szCs w:val="20"/>
              </w:rPr>
              <w:t>Dr.</w:t>
            </w:r>
            <w:r w:rsidR="00E87ABF">
              <w:rPr>
                <w:rFonts w:ascii="Arial" w:hAnsi="Arial" w:cs="Arial"/>
                <w:sz w:val="20"/>
                <w:szCs w:val="20"/>
              </w:rPr>
              <w:t>Saadet</w:t>
            </w:r>
            <w:proofErr w:type="spellEnd"/>
            <w:r w:rsidR="00E87A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7ABF">
              <w:rPr>
                <w:rFonts w:ascii="Arial" w:hAnsi="Arial" w:cs="Arial"/>
                <w:sz w:val="20"/>
                <w:szCs w:val="20"/>
              </w:rPr>
              <w:t>Sağtaş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583EE4" w:rsidRPr="00183415" w:rsidRDefault="00583EE4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583EE4" w:rsidRPr="00183415" w:rsidRDefault="00583EE4" w:rsidP="00583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5324F0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5F3A5A" w:rsidRPr="0087701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saadetsagtas@cag.edu.tr</w:t>
              </w:r>
            </w:hyperlink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Others 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5F3A5A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equip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students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fundamentals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Business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Ethics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</w:tr>
      <w:tr w:rsidR="003A5DBD" w:rsidTr="002F69CF">
        <w:trPr>
          <w:trHeight w:val="60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Students who have completed the course successfully should be able to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Tr="002F69CF">
        <w:trPr>
          <w:trHeight w:val="80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Prog. Output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Define ethical issues that arise in everyday business and social situations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knowledge and application of ethical principles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sz w:val="20"/>
                <w:szCs w:val="20"/>
              </w:rPr>
              <w:t>Formulate reasonable solutions to ethical dilemmas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understanding of how business ethics relates to larger moral and philosophical frameworks.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various ethical issues that occur in the workplace.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an ethical situation by applying the steps involved in ethical decision making.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the concept of Corporate Social Responsibility, and explore its relevance to ethical business activity.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the moral obligations of businesses to the environment and specifically global competitors and stakeholders.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auto"/>
          </w:tcPr>
          <w:p w:rsidR="003A5DBD" w:rsidRPr="00140532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Description: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This course is designed to provide an analysis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examination of significant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contemporary ethical issues and challenges existing throughout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business arena. Emphasis will be placed upon the manager’s social and environmental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responsibilities to a wide variety of stakeholders, including employees, customers 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the public. Ethical dilemmas and decision-making frameworks and approaches at the</w:t>
            </w:r>
          </w:p>
          <w:p w:rsidR="003A5DBD" w:rsidRPr="00183415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personal, organizational and societal levels will 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explored. Student engagement in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real-world applications and issues are a critical portion of the course.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 Lecture Plan )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Introduction to Business Ethics, Stakeholder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Management and Social Responsibility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Lectures 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Emerging Business Ethics Issues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1&amp;2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40C22">
              <w:rPr>
                <w:rFonts w:ascii="Arial" w:hAnsi="Arial" w:cs="Arial"/>
                <w:i/>
                <w:sz w:val="20"/>
                <w:szCs w:val="20"/>
              </w:rPr>
              <w:t>The Institutionalization of Business 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Ethical Decision-Making and Ethical Leadership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8048FF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Individual Factors: Moral Philosophies and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Values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Organizational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Ethics: The Role of Ethical</w:t>
            </w:r>
          </w:p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Culture and Relationships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 xml:space="preserve">Effective Ethics Program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E78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>Effective Ethics Program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Business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Globalization </w:t>
            </w:r>
            <w:r w:rsidRPr="00840C22">
              <w:rPr>
                <w:rFonts w:ascii="Arial" w:hAnsi="Arial" w:cs="Arial"/>
                <w:sz w:val="20"/>
                <w:szCs w:val="20"/>
              </w:rPr>
              <w:t>of Ethical Decision-Making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WACC and Company Valuation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3A5DBD" w:rsidTr="002F69CF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A5DBD"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  <w:p w:rsidR="00232E4F" w:rsidRPr="00183415" w:rsidRDefault="00232E4F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  <w:p w:rsidR="001C14B9" w:rsidRPr="00183415" w:rsidRDefault="001C14B9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178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=178/30=5,9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3A5DBD" w:rsidRPr="00183415" w:rsidTr="002F69CF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3A584A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0E69C6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921FB" w:rsidRDefault="005324F0"/>
    <w:sectPr w:rsidR="0079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BD"/>
    <w:rsid w:val="00004DFA"/>
    <w:rsid w:val="001C14B9"/>
    <w:rsid w:val="00201314"/>
    <w:rsid w:val="00232E4F"/>
    <w:rsid w:val="002709FE"/>
    <w:rsid w:val="003A5DBD"/>
    <w:rsid w:val="00421972"/>
    <w:rsid w:val="004B1269"/>
    <w:rsid w:val="005324F0"/>
    <w:rsid w:val="00583EE4"/>
    <w:rsid w:val="005F3A5A"/>
    <w:rsid w:val="006A0D43"/>
    <w:rsid w:val="00756B4C"/>
    <w:rsid w:val="0076754A"/>
    <w:rsid w:val="008A0BB8"/>
    <w:rsid w:val="008C1108"/>
    <w:rsid w:val="009804CC"/>
    <w:rsid w:val="00A338C1"/>
    <w:rsid w:val="00CF2002"/>
    <w:rsid w:val="00E65F1F"/>
    <w:rsid w:val="00E72C6A"/>
    <w:rsid w:val="00E87ABF"/>
    <w:rsid w:val="00F40F81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adetsagtas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Beril YOLACAN</dc:creator>
  <cp:lastModifiedBy>Aycan KOL</cp:lastModifiedBy>
  <cp:revision>3</cp:revision>
  <dcterms:created xsi:type="dcterms:W3CDTF">2024-01-22T07:10:00Z</dcterms:created>
  <dcterms:modified xsi:type="dcterms:W3CDTF">2024-01-22T07:36:00Z</dcterms:modified>
</cp:coreProperties>
</file>