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365"/>
        <w:gridCol w:w="992"/>
        <w:gridCol w:w="1418"/>
      </w:tblGrid>
      <w:tr w:rsidR="005A2B8A" w:rsidRPr="00052069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052069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18"/>
                <w:szCs w:val="18"/>
              </w:rPr>
            </w:pPr>
            <w:r w:rsidRPr="00052069">
              <w:rPr>
                <w:rFonts w:ascii="Arial" w:hAnsi="Arial" w:cs="Arial"/>
                <w:bCs w:val="0"/>
                <w:iCs/>
                <w:color w:val="000000" w:themeColor="text1"/>
                <w:sz w:val="18"/>
                <w:szCs w:val="18"/>
              </w:rPr>
              <w:t>SYLLABUS</w:t>
            </w:r>
          </w:p>
          <w:p w14:paraId="1EC916FC" w14:textId="77777777" w:rsidR="00920BDC" w:rsidRPr="00052069" w:rsidRDefault="006D47E9" w:rsidP="00920BD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bCs w:val="0"/>
                <w:iCs/>
                <w:color w:val="000000" w:themeColor="text1"/>
                <w:sz w:val="18"/>
                <w:szCs w:val="18"/>
              </w:rPr>
              <w:t>Faculty</w:t>
            </w:r>
            <w:proofErr w:type="spellEnd"/>
            <w:r w:rsidRPr="00052069">
              <w:rPr>
                <w:rFonts w:ascii="Arial" w:hAnsi="Arial" w:cs="Arial"/>
                <w:bCs w:val="0"/>
                <w:iCs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="00920BDC" w:rsidRPr="00052069">
              <w:rPr>
                <w:rFonts w:ascii="Arial" w:hAnsi="Arial" w:cs="Arial"/>
                <w:bCs w:val="0"/>
                <w:iCs/>
                <w:color w:val="000000" w:themeColor="text1"/>
                <w:sz w:val="18"/>
                <w:szCs w:val="18"/>
              </w:rPr>
              <w:t>Arts</w:t>
            </w:r>
            <w:proofErr w:type="spellEnd"/>
            <w:r w:rsidR="00920BDC" w:rsidRPr="00052069">
              <w:rPr>
                <w:rFonts w:ascii="Arial" w:hAnsi="Arial" w:cs="Arial"/>
                <w:bCs w:val="0"/>
                <w:iCs/>
                <w:color w:val="000000" w:themeColor="text1"/>
                <w:sz w:val="18"/>
                <w:szCs w:val="18"/>
              </w:rPr>
              <w:t xml:space="preserve"> &amp; </w:t>
            </w:r>
            <w:proofErr w:type="spellStart"/>
            <w:r w:rsidR="00920BDC" w:rsidRPr="00052069">
              <w:rPr>
                <w:rFonts w:ascii="Arial" w:hAnsi="Arial" w:cs="Arial"/>
                <w:bCs w:val="0"/>
                <w:iCs/>
                <w:color w:val="000000" w:themeColor="text1"/>
                <w:sz w:val="18"/>
                <w:szCs w:val="18"/>
              </w:rPr>
              <w:t>Sciences</w:t>
            </w:r>
            <w:proofErr w:type="spellEnd"/>
            <w:r w:rsidR="00920BDC" w:rsidRPr="00052069">
              <w:rPr>
                <w:rFonts w:ascii="Arial" w:hAnsi="Arial" w:cs="Arial"/>
                <w:bCs w:val="0"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71F9B79E" w14:textId="23837ACB" w:rsidR="005A2B8A" w:rsidRPr="00052069" w:rsidRDefault="00920BDC" w:rsidP="00920BD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bCs w:val="0"/>
                <w:iCs/>
                <w:color w:val="000000" w:themeColor="text1"/>
                <w:sz w:val="18"/>
                <w:szCs w:val="18"/>
              </w:rPr>
              <w:t>Department</w:t>
            </w:r>
            <w:proofErr w:type="spellEnd"/>
            <w:r w:rsidRPr="00052069">
              <w:rPr>
                <w:rFonts w:ascii="Arial" w:hAnsi="Arial" w:cs="Arial"/>
                <w:bCs w:val="0"/>
                <w:iCs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052069">
              <w:rPr>
                <w:rFonts w:ascii="Arial" w:hAnsi="Arial" w:cs="Arial"/>
                <w:bCs w:val="0"/>
                <w:iCs/>
                <w:color w:val="000000" w:themeColor="text1"/>
                <w:sz w:val="18"/>
                <w:szCs w:val="18"/>
              </w:rPr>
              <w:t>Translation</w:t>
            </w:r>
            <w:proofErr w:type="spellEnd"/>
            <w:r w:rsidRPr="00052069">
              <w:rPr>
                <w:rFonts w:ascii="Arial" w:hAnsi="Arial" w:cs="Arial"/>
                <w:bCs w:val="0"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Cs w:val="0"/>
                <w:iCs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052069">
              <w:rPr>
                <w:rFonts w:ascii="Arial" w:hAnsi="Arial" w:cs="Arial"/>
                <w:bCs w:val="0"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Cs w:val="0"/>
                <w:iCs/>
                <w:color w:val="000000" w:themeColor="text1"/>
                <w:sz w:val="18"/>
                <w:szCs w:val="18"/>
              </w:rPr>
              <w:t>Interpreting</w:t>
            </w:r>
            <w:proofErr w:type="spellEnd"/>
          </w:p>
        </w:tc>
      </w:tr>
      <w:tr w:rsidR="00482527" w:rsidRPr="00052069" w14:paraId="478F0F2C" w14:textId="77777777" w:rsidTr="00920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052069" w:rsidRDefault="009C58D8" w:rsidP="001B4D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Course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052069" w:rsidRDefault="009C58D8" w:rsidP="001B4D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20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Course </w:t>
            </w:r>
            <w:proofErr w:type="spellStart"/>
            <w:r w:rsidRPr="00052069">
              <w:rPr>
                <w:rFonts w:ascii="Arial" w:hAnsi="Arial" w:cs="Arial"/>
                <w:b/>
                <w:bCs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03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052069" w:rsidRDefault="009C58D8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b/>
                <w:bCs/>
                <w:sz w:val="18"/>
                <w:szCs w:val="18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052069" w:rsidRDefault="009C58D8" w:rsidP="001B4D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ECTS Value</w:t>
            </w:r>
          </w:p>
        </w:tc>
      </w:tr>
      <w:tr w:rsidR="001966C9" w:rsidRPr="00052069" w14:paraId="374EF87D" w14:textId="77777777" w:rsidTr="00920BD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</w:tcPr>
          <w:p w14:paraId="5645F289" w14:textId="14FD7BC4" w:rsidR="001966C9" w:rsidRPr="00052069" w:rsidRDefault="001966C9" w:rsidP="001966C9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TRN 416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D2EAF1"/>
          </w:tcPr>
          <w:p w14:paraId="54764CA8" w14:textId="1DCD2C6B" w:rsidR="001966C9" w:rsidRPr="00052069" w:rsidRDefault="001966C9" w:rsidP="00196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Audiovisual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Translation</w:t>
            </w:r>
            <w:proofErr w:type="spellEnd"/>
          </w:p>
        </w:tc>
        <w:tc>
          <w:tcPr>
            <w:tcW w:w="1403" w:type="dxa"/>
            <w:gridSpan w:val="3"/>
          </w:tcPr>
          <w:p w14:paraId="5967AF88" w14:textId="6CEBF5A8" w:rsidR="001966C9" w:rsidRPr="00052069" w:rsidRDefault="001966C9" w:rsidP="0019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(2-2)3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</w:tcPr>
          <w:p w14:paraId="79C5E0D3" w14:textId="234B6DA3" w:rsidR="001966C9" w:rsidRPr="00052069" w:rsidRDefault="001966C9" w:rsidP="001966C9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20BDC" w:rsidRPr="00052069" w14:paraId="388A8093" w14:textId="77777777" w:rsidTr="00512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920BDC" w:rsidRPr="00052069" w:rsidRDefault="00920BDC" w:rsidP="00920BD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Prerequisite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D2EAF1"/>
          </w:tcPr>
          <w:p w14:paraId="640BECDB" w14:textId="3D0DE334" w:rsidR="00920BDC" w:rsidRPr="00052069" w:rsidRDefault="00920BDC" w:rsidP="00920BD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None</w:t>
            </w:r>
            <w:proofErr w:type="spellEnd"/>
          </w:p>
        </w:tc>
      </w:tr>
      <w:tr w:rsidR="00920BDC" w:rsidRPr="00052069" w14:paraId="0CF86700" w14:textId="486C9227" w:rsidTr="005128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920BDC" w:rsidRPr="00052069" w:rsidRDefault="00920BDC" w:rsidP="00920BDC">
            <w:pPr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D2EAF1"/>
          </w:tcPr>
          <w:p w14:paraId="485B0539" w14:textId="58D2264B" w:rsidR="00920BDC" w:rsidRPr="00052069" w:rsidRDefault="00920BDC" w:rsidP="00920BDC">
            <w:pPr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920BDC" w:rsidRPr="00052069" w:rsidRDefault="00920BDC" w:rsidP="00920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20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Course Delivery </w:t>
            </w:r>
            <w:proofErr w:type="spellStart"/>
            <w:r w:rsidRPr="00052069">
              <w:rPr>
                <w:rFonts w:ascii="Arial" w:hAnsi="Arial" w:cs="Arial"/>
                <w:b/>
                <w:bCs/>
                <w:sz w:val="18"/>
                <w:szCs w:val="18"/>
              </w:rPr>
              <w:t>Mode</w:t>
            </w:r>
            <w:proofErr w:type="spellEnd"/>
            <w:r w:rsidRPr="0005206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5EB9F26B" w:rsidR="00920BDC" w:rsidRPr="00052069" w:rsidRDefault="00920BDC" w:rsidP="00920BD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Face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to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face</w:t>
            </w:r>
            <w:proofErr w:type="spellEnd"/>
          </w:p>
        </w:tc>
      </w:tr>
      <w:tr w:rsidR="00681162" w:rsidRPr="00052069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052069" w:rsidRDefault="009C58D8">
            <w:pPr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Course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5DA7E575" w:rsidR="00681162" w:rsidRPr="00052069" w:rsidRDefault="003360EF" w:rsidP="00833C7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BDC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Selective-4th </w:t>
            </w:r>
            <w:proofErr w:type="spellStart"/>
            <w:r w:rsidR="00920BDC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Year</w:t>
            </w:r>
            <w:proofErr w:type="spellEnd"/>
            <w:r w:rsidR="00920BDC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-Fall </w:t>
            </w:r>
            <w:proofErr w:type="spellStart"/>
            <w:r w:rsidR="00920BDC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Semester</w:t>
            </w:r>
            <w:proofErr w:type="spellEnd"/>
          </w:p>
        </w:tc>
      </w:tr>
      <w:tr w:rsidR="00F96934" w:rsidRPr="00052069" w14:paraId="5EFC5230" w14:textId="77777777" w:rsidTr="00920BD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052069" w:rsidRDefault="009C58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Instructor's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Title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Name,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052069" w:rsidRDefault="009C58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20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Course </w:t>
            </w:r>
            <w:proofErr w:type="spellStart"/>
            <w:r w:rsidRPr="00052069">
              <w:rPr>
                <w:rFonts w:ascii="Arial" w:hAnsi="Arial" w:cs="Arial"/>
                <w:b/>
                <w:bCs/>
                <w:sz w:val="18"/>
                <w:szCs w:val="18"/>
              </w:rPr>
              <w:t>Hours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052069" w:rsidRDefault="009C5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20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Office </w:t>
            </w:r>
            <w:proofErr w:type="spellStart"/>
            <w:r w:rsidRPr="00052069">
              <w:rPr>
                <w:rFonts w:ascii="Arial" w:hAnsi="Arial" w:cs="Arial"/>
                <w:b/>
                <w:bCs/>
                <w:sz w:val="18"/>
                <w:szCs w:val="18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052069" w:rsidRDefault="009C58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Contact</w:t>
            </w:r>
            <w:proofErr w:type="spellEnd"/>
          </w:p>
        </w:tc>
      </w:tr>
      <w:tr w:rsidR="00893346" w:rsidRPr="00052069" w14:paraId="44256859" w14:textId="77777777" w:rsidTr="00920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35A2589C" w:rsidR="00893346" w:rsidRPr="00052069" w:rsidRDefault="00893346" w:rsidP="00893346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sz w:val="18"/>
                <w:szCs w:val="18"/>
              </w:rPr>
              <w:t>Dr. Senem ZAİMOĞLU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FFFFFF"/>
          </w:tcPr>
          <w:p w14:paraId="18D360BD" w14:textId="77777777" w:rsidR="00893346" w:rsidRPr="00052069" w:rsidRDefault="00893346" w:rsidP="0089334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052069">
              <w:rPr>
                <w:rFonts w:ascii="Arial" w:hAnsi="Arial" w:cs="Arial"/>
                <w:sz w:val="18"/>
                <w:szCs w:val="18"/>
              </w:rPr>
              <w:t>Tuesday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>:  10.00</w:t>
            </w:r>
            <w:proofErr w:type="gramEnd"/>
            <w:r w:rsidRPr="00052069">
              <w:rPr>
                <w:rFonts w:ascii="Arial" w:hAnsi="Arial" w:cs="Arial"/>
                <w:sz w:val="18"/>
                <w:szCs w:val="18"/>
              </w:rPr>
              <w:t>-12.20</w:t>
            </w:r>
          </w:p>
          <w:p w14:paraId="7A92F4D2" w14:textId="0032F799" w:rsidR="00893346" w:rsidRPr="00052069" w:rsidRDefault="00893346" w:rsidP="0089334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Thursday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>: 13.20-15-40</w:t>
            </w:r>
          </w:p>
        </w:tc>
        <w:tc>
          <w:tcPr>
            <w:tcW w:w="1403" w:type="dxa"/>
            <w:gridSpan w:val="3"/>
            <w:shd w:val="clear" w:color="auto" w:fill="auto"/>
          </w:tcPr>
          <w:p w14:paraId="72C71106" w14:textId="6E451FE9" w:rsidR="00893346" w:rsidRPr="00052069" w:rsidRDefault="00893346" w:rsidP="00893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  <w:lang w:val="en-GB"/>
              </w:rPr>
              <w:t>Wednesday-10.00-10.40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auto"/>
          </w:tcPr>
          <w:p w14:paraId="59E51361" w14:textId="5629079D" w:rsidR="00893346" w:rsidRPr="00052069" w:rsidRDefault="00893346" w:rsidP="00893346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senemdag@cag.edu.tr</w:t>
            </w:r>
          </w:p>
        </w:tc>
      </w:tr>
      <w:tr w:rsidR="00F96934" w:rsidRPr="00052069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052069" w:rsidRDefault="009C58D8">
            <w:pPr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Course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Coordinator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49367917" w:rsidR="00F96934" w:rsidRPr="00052069" w:rsidRDefault="00920BDC" w:rsidP="0034027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Dr. Senem ZAİMOĞLU</w:t>
            </w:r>
          </w:p>
        </w:tc>
      </w:tr>
      <w:tr w:rsidR="003537D4" w:rsidRPr="00052069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79A0328" w14:textId="4905FAFA" w:rsidR="00AE16BE" w:rsidRPr="00052069" w:rsidRDefault="009C58D8">
            <w:pPr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Course </w:t>
            </w:r>
            <w:proofErr w:type="spellStart"/>
            <w:proofErr w:type="gramStart"/>
            <w:r w:rsidRPr="00052069">
              <w:rPr>
                <w:rFonts w:ascii="Arial" w:hAnsi="Arial" w:cs="Arial"/>
                <w:sz w:val="18"/>
                <w:szCs w:val="18"/>
              </w:rPr>
              <w:t>Objectives</w:t>
            </w:r>
            <w:proofErr w:type="spellEnd"/>
            <w:r w:rsidR="00920BDC"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BDC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:</w:t>
            </w:r>
            <w:proofErr w:type="gramEnd"/>
            <w:r w:rsidR="00920BDC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To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help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students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develop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the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technical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skills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to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subtitle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audiovisual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materials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—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such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as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films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television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programs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and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documentaries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;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to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discuss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the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translation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challenges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posed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by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different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genres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and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the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subtitling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techniques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that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work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well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for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them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;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and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to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produce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subtitles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for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audiovisual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texts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across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a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range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of </w:t>
            </w:r>
            <w:proofErr w:type="spellStart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genres</w:t>
            </w:r>
            <w:proofErr w:type="spellEnd"/>
            <w:r w:rsidR="00AE16BE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</w:p>
          <w:p w14:paraId="65E7B619" w14:textId="3BF1E3A6" w:rsidR="001C134A" w:rsidRPr="00052069" w:rsidRDefault="001C13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CE5" w:rsidRPr="00052069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052069" w:rsidRDefault="009C58D8" w:rsidP="001B4D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Course Learning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052069" w:rsidRDefault="009C58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Upon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successful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completion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this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course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student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will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be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able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052069" w:rsidRDefault="009C58D8" w:rsidP="001B4D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Relations</w:t>
            </w:r>
            <w:proofErr w:type="spellEnd"/>
          </w:p>
        </w:tc>
      </w:tr>
      <w:tr w:rsidR="003A0CE5" w:rsidRPr="00052069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052069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052069" w:rsidRDefault="003A0CE5" w:rsidP="003A4C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052069" w:rsidRDefault="009C58D8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Program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052069" w:rsidRDefault="009C58D8" w:rsidP="001B4DBF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Net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Contribution</w:t>
            </w:r>
            <w:proofErr w:type="spellEnd"/>
          </w:p>
        </w:tc>
      </w:tr>
      <w:tr w:rsidR="00C35D30" w:rsidRPr="00052069" w14:paraId="2D010E49" w14:textId="77777777" w:rsidTr="0067300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C35D30" w:rsidRPr="00052069" w:rsidRDefault="00C35D30" w:rsidP="00C35D3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C35D30" w:rsidRPr="00052069" w:rsidRDefault="00C35D30" w:rsidP="00C35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7"/>
            <w:shd w:val="clear" w:color="auto" w:fill="FFFFFF"/>
          </w:tcPr>
          <w:p w14:paraId="2E40272B" w14:textId="7B96DDB7" w:rsidR="00C35D30" w:rsidRPr="00052069" w:rsidRDefault="00C35D30" w:rsidP="00C35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Defines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classifies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audiovisual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translation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modes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subtitling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SDH,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fansubbing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dubbing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.);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compares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distinctive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features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each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mode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maps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their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place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within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Translation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Studies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examples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(a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brief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concept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map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diagram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auto"/>
          </w:tcPr>
          <w:p w14:paraId="6E2B5677" w14:textId="46AA3A26" w:rsidR="00C35D30" w:rsidRPr="00052069" w:rsidRDefault="00C35D30" w:rsidP="00C35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1, 3, 5, 6, 8, 11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0FA0F5C4" w14:textId="21C0E050" w:rsidR="00C35D30" w:rsidRPr="00052069" w:rsidRDefault="00C35D30" w:rsidP="00C35D30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5, 5, 4, 5, 4, 4</w:t>
            </w:r>
          </w:p>
        </w:tc>
      </w:tr>
      <w:tr w:rsidR="00C35D30" w:rsidRPr="00052069" w14:paraId="347B549F" w14:textId="77777777" w:rsidTr="00673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C35D30" w:rsidRPr="00052069" w:rsidRDefault="00C35D30" w:rsidP="00C35D3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C35D30" w:rsidRPr="00052069" w:rsidRDefault="00C35D30" w:rsidP="00C35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521" w:type="dxa"/>
            <w:gridSpan w:val="7"/>
            <w:shd w:val="clear" w:color="auto" w:fill="DEEAF6"/>
          </w:tcPr>
          <w:p w14:paraId="0185FF67" w14:textId="23BE67A9" w:rsidR="00C35D30" w:rsidRPr="00052069" w:rsidRDefault="00C35D30" w:rsidP="00C35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Explains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technical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details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subtitling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process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(CPS,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line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length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lines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segmentation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core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guidelines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readability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sync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spotting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workflow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brief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→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translation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→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timing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→ QC →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delivery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illustrating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examples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auto"/>
          </w:tcPr>
          <w:p w14:paraId="0CA3CF30" w14:textId="19B3FAF1" w:rsidR="00C35D30" w:rsidRPr="00052069" w:rsidRDefault="00C35D30" w:rsidP="00C35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1, 2, 3, 6, 7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035023D5" w14:textId="52F56412" w:rsidR="00C35D30" w:rsidRPr="00052069" w:rsidRDefault="00C35D30" w:rsidP="00C35D30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5, 5, 3, 4, 4</w:t>
            </w:r>
          </w:p>
        </w:tc>
      </w:tr>
      <w:tr w:rsidR="00C35D30" w:rsidRPr="00052069" w14:paraId="66196677" w14:textId="77777777" w:rsidTr="0067300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C35D30" w:rsidRPr="00052069" w:rsidRDefault="00C35D30" w:rsidP="00C35D3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C35D30" w:rsidRPr="00052069" w:rsidRDefault="00C35D30" w:rsidP="00C35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521" w:type="dxa"/>
            <w:gridSpan w:val="7"/>
            <w:shd w:val="clear" w:color="auto" w:fill="FFFFFF"/>
          </w:tcPr>
          <w:p w14:paraId="4C314DDE" w14:textId="28FFEFCA" w:rsidR="00C35D30" w:rsidRPr="00052069" w:rsidRDefault="00C35D30" w:rsidP="00C35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Produces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time-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coded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guideline-compliant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subtitles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different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audiovisual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genres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applies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condensation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adaptation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cultural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transfer,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stylistic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consistency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validates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output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basic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QC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checks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readability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sync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consistency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auto"/>
          </w:tcPr>
          <w:p w14:paraId="1A850E46" w14:textId="544F56EF" w:rsidR="00C35D30" w:rsidRPr="00052069" w:rsidRDefault="00C35D30" w:rsidP="00C35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1, 2, 6, 8, 11, 14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7D8157FC" w14:textId="225D2481" w:rsidR="00C35D30" w:rsidRPr="00052069" w:rsidRDefault="00C35D30" w:rsidP="00C35D30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5, 5, 4, 4, 5, 5</w:t>
            </w:r>
          </w:p>
        </w:tc>
      </w:tr>
      <w:tr w:rsidR="00C35D30" w:rsidRPr="00052069" w14:paraId="17CD7EDE" w14:textId="77777777" w:rsidTr="00673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C35D30" w:rsidRPr="00052069" w:rsidRDefault="00C35D30" w:rsidP="00C35D3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C35D30" w:rsidRPr="00052069" w:rsidRDefault="00C35D30" w:rsidP="00C35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521" w:type="dxa"/>
            <w:gridSpan w:val="7"/>
            <w:shd w:val="clear" w:color="auto" w:fill="DEEAF6"/>
          </w:tcPr>
          <w:p w14:paraId="6F332E2A" w14:textId="52995328" w:rsidR="00C35D30" w:rsidRPr="00052069" w:rsidRDefault="00C35D30" w:rsidP="00C35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Designs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delivers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subtitle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translations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aligned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market/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client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requirements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brief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style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guide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delivery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format,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accessibility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/SDH);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decides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on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source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style-guide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usage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evaluates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output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updates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termbase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style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guide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auto"/>
          </w:tcPr>
          <w:p w14:paraId="197EF09B" w14:textId="39A0AF2C" w:rsidR="00C35D30" w:rsidRPr="00052069" w:rsidRDefault="00C35D30" w:rsidP="00C35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1, 2, 6, 7, 14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35E11ACA" w14:textId="43DAD5C9" w:rsidR="00C35D30" w:rsidRPr="00052069" w:rsidRDefault="00C35D30" w:rsidP="00C35D30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5, 5, 4, 5, 4</w:t>
            </w:r>
          </w:p>
        </w:tc>
      </w:tr>
      <w:tr w:rsidR="001B5C97" w:rsidRPr="00052069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052069" w:rsidRDefault="009C58D8">
            <w:pPr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6A4E7102" w:rsidR="001B5C97" w:rsidRPr="00052069" w:rsidRDefault="00BF4629" w:rsidP="001B5C97">
            <w:pPr>
              <w:rPr>
                <w:rFonts w:ascii="Arial" w:hAnsi="Arial" w:cs="Arial"/>
                <w:b w:val="0"/>
                <w:color w:val="333333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The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course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introduces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the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technical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and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theoretical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dimensions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of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subtitling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for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audiovisual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materials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outlines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the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characteristics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of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common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translation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issues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and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provides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foundational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knowledge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of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the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</w:t>
            </w:r>
            <w:proofErr w:type="gram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software</w:t>
            </w:r>
            <w:proofErr w:type="gram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tools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required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for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such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translations</w:t>
            </w:r>
            <w:proofErr w:type="spellEnd"/>
            <w:r w:rsidRPr="00052069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.</w:t>
            </w:r>
          </w:p>
        </w:tc>
      </w:tr>
      <w:tr w:rsidR="003360EF" w:rsidRPr="00052069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052069" w:rsidRDefault="009C58D8" w:rsidP="003208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Course Schedule (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Weekly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Plan)</w:t>
            </w:r>
          </w:p>
        </w:tc>
      </w:tr>
      <w:tr w:rsidR="003360EF" w:rsidRPr="00052069" w14:paraId="2A31144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052069" w:rsidRDefault="009C58D8" w:rsidP="001B4D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052069" w:rsidRDefault="009C58D8" w:rsidP="001B4D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b/>
                <w:bCs/>
                <w:sz w:val="18"/>
                <w:szCs w:val="18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052069" w:rsidRDefault="009C58D8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b/>
                <w:bCs/>
                <w:sz w:val="18"/>
                <w:szCs w:val="18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052069" w:rsidRDefault="009C58D8" w:rsidP="001B4D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Teaching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Methods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Techniques</w:t>
            </w:r>
            <w:proofErr w:type="spellEnd"/>
          </w:p>
        </w:tc>
      </w:tr>
      <w:tr w:rsidR="001444DA" w:rsidRPr="00052069" w14:paraId="37BF34B0" w14:textId="77777777" w:rsidTr="00F80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1444DA" w:rsidRPr="00052069" w:rsidRDefault="001444DA" w:rsidP="001444DA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EEAF6"/>
          </w:tcPr>
          <w:p w14:paraId="43B9E913" w14:textId="6F2C20AB" w:rsidR="001444DA" w:rsidRPr="00052069" w:rsidRDefault="001444DA" w:rsidP="001444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I</w:t>
            </w:r>
            <w:r w:rsidRPr="00052069">
              <w:rPr>
                <w:rFonts w:ascii="Arial" w:hAnsi="Arial" w:cs="Arial"/>
                <w:sz w:val="18"/>
                <w:szCs w:val="18"/>
              </w:rPr>
              <w:t>ntroduction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/ Course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Requirements</w:t>
            </w:r>
            <w:proofErr w:type="spellEnd"/>
          </w:p>
        </w:tc>
        <w:tc>
          <w:tcPr>
            <w:tcW w:w="2744" w:type="dxa"/>
            <w:gridSpan w:val="4"/>
            <w:shd w:val="clear" w:color="auto" w:fill="DEEAF6"/>
          </w:tcPr>
          <w:p w14:paraId="4E2F6454" w14:textId="3DEF0619" w:rsidR="001444DA" w:rsidRPr="00052069" w:rsidRDefault="001444DA" w:rsidP="00144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0B28CFF9" w14:textId="7A680BD1" w:rsidR="001444DA" w:rsidRPr="00052069" w:rsidRDefault="001444DA" w:rsidP="001444DA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Presentation,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Discussion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Collaborative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Learning</w:t>
            </w:r>
          </w:p>
        </w:tc>
      </w:tr>
      <w:tr w:rsidR="001444DA" w:rsidRPr="00052069" w14:paraId="6F2F8889" w14:textId="77777777" w:rsidTr="00F800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1444DA" w:rsidRPr="00052069" w:rsidRDefault="001444DA" w:rsidP="001444DA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0195B8CF" w14:textId="2B9519DD" w:rsidR="001444DA" w:rsidRPr="00052069" w:rsidRDefault="001444DA" w:rsidP="001444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What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are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subtitling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dubbing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744" w:type="dxa"/>
            <w:gridSpan w:val="4"/>
            <w:shd w:val="clear" w:color="auto" w:fill="FFFFFF"/>
          </w:tcPr>
          <w:p w14:paraId="67DFA02F" w14:textId="3C4062A8" w:rsidR="001444DA" w:rsidRPr="00052069" w:rsidRDefault="001444DA" w:rsidP="00144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Gonzales, Luis Perez, “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Audiovisual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Translation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,” in Baker, Mona &amp; Gabriela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Saldanha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eds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.) (2009),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Routledge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Encyclopedia of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Translation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Studies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>, 2nd ed.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091113C1" w14:textId="10D507AE" w:rsidR="001444DA" w:rsidRPr="00052069" w:rsidRDefault="001444DA" w:rsidP="001444DA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Presentation,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Discussion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Collaborative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Learning</w:t>
            </w:r>
          </w:p>
        </w:tc>
      </w:tr>
      <w:tr w:rsidR="001444DA" w:rsidRPr="00052069" w14:paraId="5F373E70" w14:textId="77777777" w:rsidTr="00F80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1444DA" w:rsidRPr="00052069" w:rsidRDefault="001444DA" w:rsidP="001444DA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9E2F3"/>
          </w:tcPr>
          <w:p w14:paraId="49527597" w14:textId="70BDF6B8" w:rsidR="001444DA" w:rsidRPr="00052069" w:rsidRDefault="001444DA" w:rsidP="001444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Pros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cons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dubbing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subtitling</w:t>
            </w:r>
            <w:proofErr w:type="spellEnd"/>
          </w:p>
        </w:tc>
        <w:tc>
          <w:tcPr>
            <w:tcW w:w="2744" w:type="dxa"/>
            <w:gridSpan w:val="4"/>
            <w:shd w:val="clear" w:color="auto" w:fill="DEEAF6"/>
          </w:tcPr>
          <w:p w14:paraId="7B75F9D1" w14:textId="4923708E" w:rsidR="001444DA" w:rsidRPr="00052069" w:rsidRDefault="001444DA" w:rsidP="00144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Related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journals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77FDD091" w14:textId="30339A05" w:rsidR="001444DA" w:rsidRPr="00052069" w:rsidRDefault="001444DA" w:rsidP="001444DA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Presentation,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Discussion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Inquiry-Based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Learning</w:t>
            </w:r>
          </w:p>
        </w:tc>
      </w:tr>
      <w:tr w:rsidR="001444DA" w:rsidRPr="00052069" w14:paraId="38C8F85B" w14:textId="77777777" w:rsidTr="00F800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1444DA" w:rsidRPr="00052069" w:rsidRDefault="001444DA" w:rsidP="001444DA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2BBFAA8E" w14:textId="4650F3C3" w:rsidR="001444DA" w:rsidRPr="00052069" w:rsidRDefault="001444DA" w:rsidP="001444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Introduction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subtitling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/>
          </w:tcPr>
          <w:p w14:paraId="72FEE239" w14:textId="7D70411F" w:rsidR="001444DA" w:rsidRPr="00052069" w:rsidRDefault="001444DA" w:rsidP="00144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“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Subtitling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”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by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Jorge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Díaz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Cintas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in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Handbook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Translation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Studies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pp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>. 344–349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3739A057" w14:textId="6B2B60B7" w:rsidR="001444DA" w:rsidRPr="00052069" w:rsidRDefault="001444DA" w:rsidP="001444DA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Presentation,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Discussion</w:t>
            </w:r>
            <w:proofErr w:type="spellEnd"/>
          </w:p>
        </w:tc>
      </w:tr>
      <w:tr w:rsidR="001444DA" w:rsidRPr="00052069" w14:paraId="7C592F63" w14:textId="77777777" w:rsidTr="00F80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1444DA" w:rsidRPr="00052069" w:rsidRDefault="001444DA" w:rsidP="001444DA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9E2F3"/>
          </w:tcPr>
          <w:p w14:paraId="5E8C3390" w14:textId="438A8A38" w:rsidR="001444DA" w:rsidRPr="00052069" w:rsidRDefault="001444DA" w:rsidP="001444DA">
            <w:pPr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Professional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setting</w:t>
            </w:r>
            <w:proofErr w:type="spellEnd"/>
          </w:p>
        </w:tc>
        <w:tc>
          <w:tcPr>
            <w:tcW w:w="2744" w:type="dxa"/>
            <w:gridSpan w:val="4"/>
            <w:shd w:val="clear" w:color="auto" w:fill="DEEAF6"/>
          </w:tcPr>
          <w:p w14:paraId="43A2FED1" w14:textId="614E1E39" w:rsidR="001444DA" w:rsidRPr="00052069" w:rsidRDefault="001444DA" w:rsidP="00144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Díaz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Cintas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J., &amp;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Remael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A. (2007).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Audiovisual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Translation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Subtitling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(1st ed.).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Routledge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>. https://doi.org/10.4324/9781315759678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5F167A28" w14:textId="129AD1CA" w:rsidR="001444DA" w:rsidRPr="00052069" w:rsidRDefault="00E135DD" w:rsidP="001444DA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Presentation,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Discussion</w:t>
            </w:r>
            <w:proofErr w:type="spellEnd"/>
          </w:p>
        </w:tc>
      </w:tr>
      <w:tr w:rsidR="00422606" w:rsidRPr="00052069" w14:paraId="58A7C5E3" w14:textId="77777777" w:rsidTr="006E50F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422606" w:rsidRPr="00052069" w:rsidRDefault="00422606" w:rsidP="004226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EEAF6"/>
          </w:tcPr>
          <w:p w14:paraId="206DAB37" w14:textId="58C1C23C" w:rsidR="00422606" w:rsidRPr="00052069" w:rsidRDefault="00422606" w:rsidP="0042260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Semiotics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subtitling</w:t>
            </w:r>
            <w:proofErr w:type="spellEnd"/>
          </w:p>
        </w:tc>
        <w:tc>
          <w:tcPr>
            <w:tcW w:w="2744" w:type="dxa"/>
            <w:gridSpan w:val="4"/>
            <w:shd w:val="clear" w:color="auto" w:fill="DEEAF6"/>
          </w:tcPr>
          <w:p w14:paraId="2A4E24EA" w14:textId="1C455011" w:rsidR="00422606" w:rsidRPr="00052069" w:rsidRDefault="00422606" w:rsidP="00422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Díaz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Cintas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J., &amp;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Remael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A. (2007).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Audiovisual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Translation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Subtitling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(1st ed.).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Routledge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>. https://doi.org/10.4324/9781315759678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</w:tcPr>
          <w:p w14:paraId="12EAE6DF" w14:textId="0CA6ECA6" w:rsidR="00422606" w:rsidRPr="00052069" w:rsidRDefault="00422606" w:rsidP="00422606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Presentation,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Discussion</w:t>
            </w:r>
            <w:proofErr w:type="spellEnd"/>
          </w:p>
        </w:tc>
      </w:tr>
      <w:tr w:rsidR="00422606" w:rsidRPr="00052069" w14:paraId="6CA30A28" w14:textId="77777777" w:rsidTr="00056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422606" w:rsidRPr="00052069" w:rsidRDefault="00422606" w:rsidP="004226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5547CF4" w14:textId="78149A64" w:rsidR="00422606" w:rsidRPr="00052069" w:rsidRDefault="00422606" w:rsidP="0042260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Subtitling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process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— Technical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aspects</w:t>
            </w:r>
            <w:proofErr w:type="spellEnd"/>
          </w:p>
        </w:tc>
        <w:tc>
          <w:tcPr>
            <w:tcW w:w="2744" w:type="dxa"/>
            <w:gridSpan w:val="4"/>
            <w:shd w:val="clear" w:color="auto" w:fill="DEEAF6"/>
          </w:tcPr>
          <w:p w14:paraId="754A76C7" w14:textId="4973E47D" w:rsidR="00422606" w:rsidRPr="00052069" w:rsidRDefault="00422606" w:rsidP="00422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Díaz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Cintas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J., &amp;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Remael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A. (2007).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Audiovisual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Translation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Subtitling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(1st ed.).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Routledge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>. https://doi.org/10.4324/9781315759678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44BB9DD7" w14:textId="7AD141EA" w:rsidR="00422606" w:rsidRPr="00052069" w:rsidRDefault="00422606" w:rsidP="00422606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Presentation,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Discussion</w:t>
            </w:r>
            <w:proofErr w:type="spellEnd"/>
          </w:p>
        </w:tc>
      </w:tr>
      <w:tr w:rsidR="00422606" w:rsidRPr="00052069" w14:paraId="27BFB469" w14:textId="77777777" w:rsidTr="00DA0B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422606" w:rsidRPr="00052069" w:rsidRDefault="00422606" w:rsidP="004226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63BAB785" w14:textId="72EAD2F8" w:rsidR="00422606" w:rsidRPr="00052069" w:rsidRDefault="00422606" w:rsidP="0042260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Midterm</w:t>
            </w:r>
            <w:proofErr w:type="spellEnd"/>
          </w:p>
        </w:tc>
        <w:tc>
          <w:tcPr>
            <w:tcW w:w="2744" w:type="dxa"/>
            <w:gridSpan w:val="4"/>
          </w:tcPr>
          <w:p w14:paraId="0D1F64A7" w14:textId="35AC5CC5" w:rsidR="00422606" w:rsidRPr="00052069" w:rsidRDefault="00422606" w:rsidP="00422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Interim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subtitle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draft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(.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srt</w:t>
            </w:r>
            <w:proofErr w:type="spellEnd"/>
            <w:proofErr w:type="gramStart"/>
            <w:r w:rsidRPr="00052069">
              <w:rPr>
                <w:rFonts w:ascii="Arial" w:hAnsi="Arial" w:cs="Arial"/>
                <w:sz w:val="18"/>
                <w:szCs w:val="18"/>
              </w:rPr>
              <w:t>/.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ass</w:t>
            </w:r>
            <w:proofErr w:type="spellEnd"/>
            <w:proofErr w:type="gramEnd"/>
            <w:r w:rsidRPr="00052069">
              <w:rPr>
                <w:rFonts w:ascii="Arial" w:hAnsi="Arial" w:cs="Arial"/>
                <w:sz w:val="18"/>
                <w:szCs w:val="18"/>
              </w:rPr>
              <w:t xml:space="preserve">) + time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codes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term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list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(TR–EN);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style-guide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summary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</w:tcPr>
          <w:p w14:paraId="08650D66" w14:textId="306FC1F7" w:rsidR="00422606" w:rsidRPr="00052069" w:rsidRDefault="00422606" w:rsidP="00422606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Project-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based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evaluation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interim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draft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peer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assessment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rubric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independent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study</w:t>
            </w:r>
            <w:proofErr w:type="spellEnd"/>
          </w:p>
        </w:tc>
      </w:tr>
      <w:tr w:rsidR="00422606" w:rsidRPr="00052069" w14:paraId="2150C488" w14:textId="77777777" w:rsidTr="00DA0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422606" w:rsidRPr="00052069" w:rsidRDefault="00422606" w:rsidP="004226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9E2F3"/>
          </w:tcPr>
          <w:p w14:paraId="36B7484C" w14:textId="4A70F6BF" w:rsidR="00422606" w:rsidRPr="00052069" w:rsidRDefault="00422606" w:rsidP="0042260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Midterm</w:t>
            </w:r>
            <w:proofErr w:type="spellEnd"/>
          </w:p>
        </w:tc>
        <w:tc>
          <w:tcPr>
            <w:tcW w:w="2744" w:type="dxa"/>
            <w:gridSpan w:val="4"/>
            <w:shd w:val="clear" w:color="auto" w:fill="DEEAF6"/>
          </w:tcPr>
          <w:p w14:paraId="305D5438" w14:textId="6AB6EB4E" w:rsidR="00422606" w:rsidRPr="00052069" w:rsidRDefault="00422606" w:rsidP="00422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Interim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subtitle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draft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(.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srt</w:t>
            </w:r>
            <w:proofErr w:type="spellEnd"/>
            <w:proofErr w:type="gramStart"/>
            <w:r w:rsidRPr="00052069">
              <w:rPr>
                <w:rFonts w:ascii="Arial" w:hAnsi="Arial" w:cs="Arial"/>
                <w:sz w:val="18"/>
                <w:szCs w:val="18"/>
              </w:rPr>
              <w:t>/.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ass</w:t>
            </w:r>
            <w:proofErr w:type="spellEnd"/>
            <w:proofErr w:type="gramEnd"/>
            <w:r w:rsidRPr="00052069">
              <w:rPr>
                <w:rFonts w:ascii="Arial" w:hAnsi="Arial" w:cs="Arial"/>
                <w:sz w:val="18"/>
                <w:szCs w:val="18"/>
              </w:rPr>
              <w:t xml:space="preserve">) + time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codes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term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list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(TR–EN);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style-guide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summary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0774A7A9" w14:textId="066DFB16" w:rsidR="00422606" w:rsidRPr="00052069" w:rsidRDefault="00422606" w:rsidP="00422606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Portfolio/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assignment-based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evaluation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annotated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bibliography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short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quiz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(APA mini-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quiz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independent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study</w:t>
            </w:r>
            <w:proofErr w:type="spellEnd"/>
          </w:p>
        </w:tc>
      </w:tr>
      <w:tr w:rsidR="00422606" w:rsidRPr="00052069" w14:paraId="67B97828" w14:textId="77777777" w:rsidTr="00CE1DA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422606" w:rsidRPr="00052069" w:rsidRDefault="00422606" w:rsidP="004226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645FD6BD" w14:textId="443AFFD9" w:rsidR="00422606" w:rsidRPr="00052069" w:rsidRDefault="00422606" w:rsidP="0042260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Subtitling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process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—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Punctuation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other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conventions</w:t>
            </w:r>
            <w:proofErr w:type="spellEnd"/>
          </w:p>
        </w:tc>
        <w:tc>
          <w:tcPr>
            <w:tcW w:w="2744" w:type="dxa"/>
            <w:gridSpan w:val="4"/>
          </w:tcPr>
          <w:p w14:paraId="4BBDEF72" w14:textId="26760D96" w:rsidR="00422606" w:rsidRPr="00052069" w:rsidRDefault="00422606" w:rsidP="00422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Díaz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Cintas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J., &amp;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Remael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A. (2007).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Audiovisual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Translation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Subtitling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(1st ed.).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Routledge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>. https://doi.org/10.4324/9781315759678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5097B9A3" w14:textId="615B8991" w:rsidR="00422606" w:rsidRPr="00052069" w:rsidRDefault="00422606" w:rsidP="00422606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Presentation,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Discussion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Collaborative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Learning</w:t>
            </w:r>
          </w:p>
        </w:tc>
      </w:tr>
      <w:tr w:rsidR="00FE7384" w:rsidRPr="00052069" w14:paraId="45EC7ED5" w14:textId="77777777" w:rsidTr="008D1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FE7384" w:rsidRPr="00052069" w:rsidRDefault="00FE7384" w:rsidP="00FE7384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2531C78E" w14:textId="4F8E4E34" w:rsidR="00FE7384" w:rsidRPr="00052069" w:rsidRDefault="00FE7384" w:rsidP="00FE738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Practice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1 —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Subtitling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an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audiovisual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piece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in a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colloquial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register</w:t>
            </w:r>
            <w:proofErr w:type="spellEnd"/>
          </w:p>
        </w:tc>
        <w:tc>
          <w:tcPr>
            <w:tcW w:w="2744" w:type="dxa"/>
            <w:gridSpan w:val="4"/>
            <w:shd w:val="clear" w:color="auto" w:fill="auto"/>
          </w:tcPr>
          <w:p w14:paraId="01C14D55" w14:textId="215B115C" w:rsidR="00FE7384" w:rsidRPr="00052069" w:rsidRDefault="00FE7384" w:rsidP="00FE7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Relevant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essays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newspapers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journals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web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auto"/>
          </w:tcPr>
          <w:p w14:paraId="6FC078F0" w14:textId="3DB5C28D" w:rsidR="00FE7384" w:rsidRPr="00052069" w:rsidRDefault="00FE7384" w:rsidP="00FE7384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Presentation,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Discussion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Inquiry-Based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Learning</w:t>
            </w:r>
          </w:p>
        </w:tc>
      </w:tr>
      <w:tr w:rsidR="00FE7384" w:rsidRPr="00052069" w14:paraId="25DD7FE9" w14:textId="77777777" w:rsidTr="004462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FE7384" w:rsidRPr="00052069" w:rsidRDefault="00FE7384" w:rsidP="00FE7384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9E2F3"/>
          </w:tcPr>
          <w:p w14:paraId="22B5E4B9" w14:textId="00F563AF" w:rsidR="00FE7384" w:rsidRPr="00052069" w:rsidRDefault="00FE7384" w:rsidP="00FE738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Evaluating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translation</w:t>
            </w:r>
            <w:proofErr w:type="spellEnd"/>
          </w:p>
        </w:tc>
        <w:tc>
          <w:tcPr>
            <w:tcW w:w="2744" w:type="dxa"/>
            <w:gridSpan w:val="4"/>
          </w:tcPr>
          <w:p w14:paraId="37145211" w14:textId="60FDD67C" w:rsidR="00FE7384" w:rsidRPr="00052069" w:rsidRDefault="00FE7384" w:rsidP="00FE7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</w:tcPr>
          <w:p w14:paraId="219D2D3F" w14:textId="051A4FCF" w:rsidR="00FE7384" w:rsidRPr="00052069" w:rsidRDefault="00FE7384" w:rsidP="00FE7384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Presentation,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Discussion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Inquiry-Based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Learning</w:t>
            </w:r>
          </w:p>
        </w:tc>
      </w:tr>
      <w:tr w:rsidR="00FE7384" w:rsidRPr="00052069" w14:paraId="034432ED" w14:textId="77777777" w:rsidTr="00446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FE7384" w:rsidRPr="00052069" w:rsidRDefault="00FE7384" w:rsidP="00FE7384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1506B42E" w14:textId="5D746155" w:rsidR="00FE7384" w:rsidRPr="00052069" w:rsidRDefault="00FE7384" w:rsidP="00FE738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Practice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2 —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Subtitling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musical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literary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adaptation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stage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play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/>
          </w:tcPr>
          <w:p w14:paraId="3D3AFD50" w14:textId="54C6EF5E" w:rsidR="00FE7384" w:rsidRPr="00052069" w:rsidRDefault="00FE7384" w:rsidP="00FE7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Relevant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essays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newspapers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journals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web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1B14AD2C" w14:textId="6ED9BBCB" w:rsidR="00FE7384" w:rsidRPr="00052069" w:rsidRDefault="00FE7384" w:rsidP="00FE7384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Presentation,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Discussion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Collaborative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Learning</w:t>
            </w:r>
          </w:p>
        </w:tc>
      </w:tr>
      <w:tr w:rsidR="00FE7384" w:rsidRPr="00052069" w14:paraId="7FF5CB9F" w14:textId="77777777" w:rsidTr="004462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FE7384" w:rsidRPr="00052069" w:rsidRDefault="00FE7384" w:rsidP="00FE7384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5A60206C" w14:textId="32064200" w:rsidR="00FE7384" w:rsidRPr="00052069" w:rsidRDefault="00FE7384" w:rsidP="00FE738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Evaluating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translation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/>
          </w:tcPr>
          <w:p w14:paraId="34C8B00B" w14:textId="351EB92A" w:rsidR="00FE7384" w:rsidRPr="00052069" w:rsidRDefault="00FE7384" w:rsidP="00FE7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1216638D" w14:textId="76B25ED0" w:rsidR="00FE7384" w:rsidRPr="00052069" w:rsidRDefault="00FE7384" w:rsidP="00FE7384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Presentation,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Discussion</w:t>
            </w:r>
            <w:proofErr w:type="spellEnd"/>
          </w:p>
        </w:tc>
      </w:tr>
      <w:tr w:rsidR="00BD043F" w:rsidRPr="00052069" w14:paraId="77110B03" w14:textId="77777777" w:rsidTr="008D1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BD043F" w:rsidRPr="00052069" w:rsidRDefault="00BD043F" w:rsidP="00BD043F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507B399A" w14:textId="181C9B16" w:rsidR="00BD043F" w:rsidRPr="00052069" w:rsidRDefault="00BD043F" w:rsidP="00BD043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Practice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3 —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Subtitling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documentary</w:t>
            </w:r>
            <w:proofErr w:type="spellEnd"/>
          </w:p>
        </w:tc>
        <w:tc>
          <w:tcPr>
            <w:tcW w:w="2744" w:type="dxa"/>
            <w:gridSpan w:val="4"/>
            <w:shd w:val="clear" w:color="auto" w:fill="auto"/>
          </w:tcPr>
          <w:p w14:paraId="225D9DC4" w14:textId="1C766300" w:rsidR="00BD043F" w:rsidRPr="00052069" w:rsidRDefault="00BD043F" w:rsidP="00BD0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Relevant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essays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newspapers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journals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web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auto"/>
          </w:tcPr>
          <w:p w14:paraId="7C7A335A" w14:textId="04C0BFD6" w:rsidR="00BD043F" w:rsidRPr="00052069" w:rsidRDefault="00BD043F" w:rsidP="00BD043F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Presentation,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Discussion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Flipped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Learning</w:t>
            </w:r>
          </w:p>
        </w:tc>
      </w:tr>
      <w:tr w:rsidR="00BD043F" w:rsidRPr="00052069" w14:paraId="11CE4BFD" w14:textId="77777777" w:rsidTr="008D1C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BD043F" w:rsidRPr="00052069" w:rsidRDefault="00BD043F" w:rsidP="00BD043F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9E2F3"/>
          </w:tcPr>
          <w:p w14:paraId="34D275E4" w14:textId="718C1722" w:rsidR="00BD043F" w:rsidRPr="00052069" w:rsidRDefault="00BD043F" w:rsidP="00BD043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linguistics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subtitling</w:t>
            </w:r>
            <w:proofErr w:type="spellEnd"/>
          </w:p>
        </w:tc>
        <w:tc>
          <w:tcPr>
            <w:tcW w:w="2744" w:type="dxa"/>
            <w:gridSpan w:val="4"/>
          </w:tcPr>
          <w:p w14:paraId="09017603" w14:textId="26605B81" w:rsidR="00BD043F" w:rsidRPr="00052069" w:rsidRDefault="00BD043F" w:rsidP="00BD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Relevant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essays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newspapers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journals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web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</w:tcPr>
          <w:p w14:paraId="1818FDD3" w14:textId="59A329EC" w:rsidR="00BD043F" w:rsidRPr="00052069" w:rsidRDefault="00BD043F" w:rsidP="00BD043F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Presentation,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Discussion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Pair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Group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Work</w:t>
            </w:r>
            <w:proofErr w:type="spellEnd"/>
          </w:p>
        </w:tc>
      </w:tr>
      <w:tr w:rsidR="00516A98" w:rsidRPr="00052069" w14:paraId="0003BC82" w14:textId="77777777" w:rsidTr="008D1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516A98" w:rsidRPr="00052069" w:rsidRDefault="00516A98" w:rsidP="00516A98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40EA682F" w14:textId="2B35C2FA" w:rsidR="00516A98" w:rsidRPr="00052069" w:rsidRDefault="00516A98" w:rsidP="00516A98">
            <w:pPr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Final</w:t>
            </w:r>
          </w:p>
        </w:tc>
        <w:tc>
          <w:tcPr>
            <w:tcW w:w="2744" w:type="dxa"/>
            <w:gridSpan w:val="4"/>
            <w:shd w:val="clear" w:color="auto" w:fill="FFFFFF"/>
          </w:tcPr>
          <w:p w14:paraId="7BABA8DD" w14:textId="4885CCE8" w:rsidR="00516A98" w:rsidRPr="00052069" w:rsidRDefault="00516A98" w:rsidP="0051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Full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translation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portfolio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submission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revision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log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037A25AB" w14:textId="5012C330" w:rsidR="00516A98" w:rsidRPr="00052069" w:rsidRDefault="00516A98" w:rsidP="00516A98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Project-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based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evaluation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complete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portfolio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short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presentation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instructor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feedback</w:t>
            </w:r>
            <w:proofErr w:type="spellEnd"/>
          </w:p>
        </w:tc>
      </w:tr>
      <w:tr w:rsidR="00516A98" w:rsidRPr="00052069" w14:paraId="0CD3D985" w14:textId="77777777" w:rsidTr="008D1C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516A98" w:rsidRPr="00052069" w:rsidRDefault="00516A98" w:rsidP="00516A98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466131D0" w14:textId="7AD6D948" w:rsidR="00516A98" w:rsidRPr="00052069" w:rsidRDefault="00516A98" w:rsidP="00516A98">
            <w:pPr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Final</w:t>
            </w:r>
          </w:p>
        </w:tc>
        <w:tc>
          <w:tcPr>
            <w:tcW w:w="2744" w:type="dxa"/>
            <w:gridSpan w:val="4"/>
            <w:shd w:val="clear" w:color="auto" w:fill="FFFFFF"/>
          </w:tcPr>
          <w:p w14:paraId="19C0D284" w14:textId="1F5A9EFC" w:rsidR="00516A98" w:rsidRPr="00052069" w:rsidRDefault="00516A98" w:rsidP="0051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Preparation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portfolio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defense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1558DAF0" w14:textId="7291FEE3" w:rsidR="00516A98" w:rsidRPr="00052069" w:rsidRDefault="00516A98" w:rsidP="00516A98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Portfolio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defense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>, self/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peer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assessment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submission-ready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checklist</w:t>
            </w:r>
            <w:proofErr w:type="spellEnd"/>
          </w:p>
        </w:tc>
      </w:tr>
      <w:tr w:rsidR="003360EF" w:rsidRPr="00052069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052069" w:rsidRDefault="009C58D8" w:rsidP="00097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Course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</w:p>
        </w:tc>
      </w:tr>
      <w:tr w:rsidR="003360EF" w:rsidRPr="00052069" w14:paraId="18511C5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052069" w:rsidRDefault="009C58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Textbook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552CAEB0" w:rsidR="003360EF" w:rsidRPr="00052069" w:rsidRDefault="00A95C56" w:rsidP="00466279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Díaz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Cintas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J., &amp;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Remael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A. (2007).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Audiovisual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Translation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: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Subtitling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(1st ed.).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Routledge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 https://doi.org/10.4324/9781315759678</w:t>
            </w:r>
          </w:p>
        </w:tc>
      </w:tr>
      <w:tr w:rsidR="003360EF" w:rsidRPr="00052069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052069" w:rsidRDefault="009C58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Recommended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References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48069195" w14:textId="77777777" w:rsidR="00A27D25" w:rsidRPr="00052069" w:rsidRDefault="00A27D25" w:rsidP="00A27D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Baker, M. &amp; </w:t>
            </w:r>
            <w:proofErr w:type="gram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Gabriela,  S.</w:t>
            </w:r>
            <w:proofErr w:type="gram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(2009).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Routledge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Encyclopedia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for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Translation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Studies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2nd ed.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Code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of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Good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Subtitling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Practice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</w:p>
          <w:p w14:paraId="3F0BDF50" w14:textId="77777777" w:rsidR="00A27D25" w:rsidRPr="00052069" w:rsidRDefault="00A27D25" w:rsidP="00A27D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4582E644" w14:textId="77777777" w:rsidR="00A27D25" w:rsidRPr="00052069" w:rsidRDefault="00A27D25" w:rsidP="00A27D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Diaz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Cintas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</w:t>
            </w:r>
            <w:proofErr w:type="gram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J.(</w:t>
            </w:r>
            <w:proofErr w:type="gram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2008).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The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Didactics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of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Audiovisual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Translation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.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Benjamins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Translation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Library (BTL). </w:t>
            </w:r>
          </w:p>
          <w:p w14:paraId="49C88F40" w14:textId="77777777" w:rsidR="00A27D25" w:rsidRPr="00052069" w:rsidRDefault="00A27D25" w:rsidP="00A27D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2E2C6E35" w14:textId="77777777" w:rsidR="00A27D25" w:rsidRPr="00052069" w:rsidRDefault="00A27D25" w:rsidP="00A27D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Diaz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Cintas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, J. (2010). “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Subtitling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” in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Handbook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of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Translation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Studies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Vol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. 1, John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Benjamins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Publishing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Company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. </w:t>
            </w:r>
          </w:p>
          <w:p w14:paraId="798CA691" w14:textId="77777777" w:rsidR="00A27D25" w:rsidRPr="00052069" w:rsidRDefault="00A27D25" w:rsidP="00A27D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23DEF52D" w14:textId="77777777" w:rsidR="00A27D25" w:rsidRPr="00052069" w:rsidRDefault="00A27D25" w:rsidP="00A27D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Kuhiwczak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P. &amp;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Littau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K. (2006). A Companion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to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Translation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Studies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.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Multilingual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Matters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</w:p>
          <w:p w14:paraId="3B70736C" w14:textId="77777777" w:rsidR="00A27D25" w:rsidRPr="00052069" w:rsidRDefault="00A27D25" w:rsidP="00A27D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06D75E96" w14:textId="6408D94A" w:rsidR="003360EF" w:rsidRPr="00052069" w:rsidRDefault="00A27D25" w:rsidP="00A27D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Orero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P. (2004).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Topics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in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AudioVisual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Translation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. John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Benjamins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Publishing.</w:t>
            </w:r>
          </w:p>
        </w:tc>
      </w:tr>
      <w:tr w:rsidR="003360EF" w:rsidRPr="00052069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052069" w:rsidRDefault="009C58D8" w:rsidP="00097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Course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Assessment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Evaluation</w:t>
            </w:r>
          </w:p>
        </w:tc>
      </w:tr>
      <w:tr w:rsidR="003360EF" w:rsidRPr="00052069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052069" w:rsidRDefault="009C58D8" w:rsidP="001B4D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052069" w:rsidRDefault="009C58D8" w:rsidP="001B4D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b/>
                <w:bCs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052069" w:rsidRDefault="0009745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b/>
                <w:bCs/>
                <w:sz w:val="18"/>
                <w:szCs w:val="18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052069" w:rsidRDefault="009C58D8" w:rsidP="001B4D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Notes</w:t>
            </w:r>
            <w:proofErr w:type="spellEnd"/>
          </w:p>
        </w:tc>
      </w:tr>
      <w:tr w:rsidR="003360EF" w:rsidRPr="00052069" w14:paraId="00F394B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1C134A" w:rsidRPr="00052069" w:rsidRDefault="009C58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Midterm</w:t>
            </w:r>
            <w:proofErr w:type="spellEnd"/>
            <w:r w:rsidRPr="000520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0C04639D" w:rsidR="003360EF" w:rsidRPr="00052069" w:rsidRDefault="008B5A36" w:rsidP="004662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52069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07DC8C9B" w14:textId="77777777" w:rsidR="008B5A36" w:rsidRPr="00052069" w:rsidRDefault="008B5A36" w:rsidP="008B5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170043C" w14:textId="77777777" w:rsidR="008B5A36" w:rsidRPr="00052069" w:rsidRDefault="008B5A36" w:rsidP="008B5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774BB3F" w14:textId="4522C77C" w:rsidR="008B5A36" w:rsidRPr="00052069" w:rsidRDefault="009C58D8" w:rsidP="008B5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052069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="008B5A36" w:rsidRPr="00052069">
              <w:rPr>
                <w:rFonts w:ascii="Arial" w:hAnsi="Arial" w:cs="Arial"/>
                <w:bCs/>
                <w:sz w:val="18"/>
                <w:szCs w:val="18"/>
              </w:rPr>
              <w:t>30%</w:t>
            </w:r>
            <w:r w:rsidR="008B5A36" w:rsidRPr="00052069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  <w:p w14:paraId="24401C95" w14:textId="353196DB" w:rsidR="008B5A36" w:rsidRPr="00052069" w:rsidRDefault="008B5A36" w:rsidP="008B5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888FADE" w14:textId="0A3E539A" w:rsidR="003360EF" w:rsidRPr="00052069" w:rsidRDefault="008B5A36" w:rsidP="008B5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052069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3360EF" w:rsidRPr="00052069" w:rsidRDefault="003360EF" w:rsidP="00466279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B49BA" w:rsidRPr="00052069" w14:paraId="67EFC2D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1C134A" w:rsidRPr="00052069" w:rsidRDefault="009C58D8">
            <w:pPr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7FDB57C5" w:rsidR="00BB49BA" w:rsidRPr="00052069" w:rsidRDefault="008B5A36" w:rsidP="004662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52069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20C24AE7" w:rsidR="00BB49BA" w:rsidRPr="00052069" w:rsidRDefault="008B5A3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052069">
              <w:rPr>
                <w:rFonts w:ascii="Arial" w:hAnsi="Arial" w:cs="Arial"/>
                <w:bCs/>
                <w:sz w:val="18"/>
                <w:szCs w:val="18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BB49BA" w:rsidRPr="00052069" w:rsidRDefault="00BB49BA" w:rsidP="00466279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566C4" w:rsidRPr="00052069" w14:paraId="68F59A27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1C134A" w:rsidRPr="00052069" w:rsidRDefault="009C58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77777777" w:rsidR="00A566C4" w:rsidRPr="00052069" w:rsidRDefault="00A566C4" w:rsidP="004662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77777777" w:rsidR="00A566C4" w:rsidRPr="00052069" w:rsidRDefault="00A566C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A566C4" w:rsidRPr="00052069" w:rsidRDefault="00A566C4" w:rsidP="00466279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B49BA" w:rsidRPr="00052069" w14:paraId="4B8E99F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1C134A" w:rsidRPr="00052069" w:rsidRDefault="009C58D8">
            <w:pPr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77777777" w:rsidR="00BB49BA" w:rsidRPr="00052069" w:rsidRDefault="00BB49BA" w:rsidP="004662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77777777" w:rsidR="00BB49BA" w:rsidRPr="00052069" w:rsidRDefault="00BB49B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7777777" w:rsidR="00BB49BA" w:rsidRPr="00052069" w:rsidRDefault="00BB49BA" w:rsidP="00466279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80F10" w:rsidRPr="00052069" w14:paraId="3F5650E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1C134A" w:rsidRPr="00052069" w:rsidRDefault="009C58D8">
            <w:pPr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77777777" w:rsidR="00880F10" w:rsidRPr="00052069" w:rsidRDefault="00880F10" w:rsidP="004662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77777777" w:rsidR="00880F10" w:rsidRPr="00052069" w:rsidRDefault="00880F1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77777777" w:rsidR="00880F10" w:rsidRPr="00052069" w:rsidRDefault="00880F10" w:rsidP="00466279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360EF" w:rsidRPr="00052069" w14:paraId="4E1E2B2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1C134A" w:rsidRPr="00052069" w:rsidRDefault="009C58D8">
            <w:pPr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7BD1529A" w:rsidR="003360EF" w:rsidRPr="00052069" w:rsidRDefault="008B5A36" w:rsidP="004662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52069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6504075F" w:rsidR="003360EF" w:rsidRPr="00052069" w:rsidRDefault="008B5A3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052069">
              <w:rPr>
                <w:rFonts w:ascii="Arial" w:hAnsi="Arial" w:cs="Arial"/>
                <w:bCs/>
                <w:sz w:val="18"/>
                <w:szCs w:val="18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3360EF" w:rsidRPr="00052069" w:rsidRDefault="003360EF" w:rsidP="00466279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360EF" w:rsidRPr="00052069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C134A" w:rsidRPr="00052069" w:rsidRDefault="009C58D8" w:rsidP="00097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 xml:space="preserve">ECTS </w:t>
            </w:r>
            <w:proofErr w:type="spellStart"/>
            <w:r w:rsidRPr="00052069">
              <w:rPr>
                <w:rFonts w:ascii="Arial" w:hAnsi="Arial" w:cs="Arial"/>
                <w:sz w:val="18"/>
                <w:szCs w:val="18"/>
              </w:rPr>
              <w:t>Table</w:t>
            </w:r>
            <w:proofErr w:type="spellEnd"/>
          </w:p>
        </w:tc>
      </w:tr>
      <w:tr w:rsidR="003360EF" w:rsidRPr="00052069" w14:paraId="1B897090" w14:textId="77777777" w:rsidTr="00920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052069" w:rsidRDefault="009C58D8" w:rsidP="001B4D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052069" w:rsidRDefault="009C58D8" w:rsidP="001B4D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b/>
                <w:bCs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2312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052069" w:rsidRDefault="009C58D8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b/>
                <w:bCs/>
                <w:sz w:val="18"/>
                <w:szCs w:val="18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052069" w:rsidRDefault="009C58D8" w:rsidP="001B4D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069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3360EF" w:rsidRPr="00052069" w14:paraId="5D14934C" w14:textId="77777777" w:rsidTr="00920BD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1C134A" w:rsidRPr="00052069" w:rsidRDefault="009C58D8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Course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3360EF" w:rsidRPr="00052069" w:rsidRDefault="003360EF" w:rsidP="004662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2069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566C4" w:rsidRPr="00052069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312" w:type="dxa"/>
            <w:gridSpan w:val="4"/>
            <w:shd w:val="clear" w:color="auto" w:fill="FFFFFF" w:themeFill="background1"/>
            <w:vAlign w:val="center"/>
          </w:tcPr>
          <w:p w14:paraId="79C2CCAD" w14:textId="61881411" w:rsidR="003360EF" w:rsidRPr="00052069" w:rsidRDefault="008B5A3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5206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FFFFFF" w:themeFill="background1"/>
            <w:vAlign w:val="center"/>
          </w:tcPr>
          <w:p w14:paraId="4133035B" w14:textId="31DD9C23" w:rsidR="003360EF" w:rsidRPr="00052069" w:rsidRDefault="008B5A36" w:rsidP="00466279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sz w:val="18"/>
                <w:szCs w:val="18"/>
              </w:rPr>
              <w:t>42</w:t>
            </w:r>
          </w:p>
        </w:tc>
      </w:tr>
      <w:tr w:rsidR="003360EF" w:rsidRPr="00052069" w14:paraId="3D6E270A" w14:textId="77777777" w:rsidTr="00920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1C134A" w:rsidRPr="00052069" w:rsidRDefault="009C58D8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Out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-of-Class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3360EF" w:rsidRPr="00052069" w:rsidRDefault="003360EF" w:rsidP="004662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2069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566C4" w:rsidRPr="00052069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312" w:type="dxa"/>
            <w:gridSpan w:val="4"/>
            <w:shd w:val="clear" w:color="auto" w:fill="DAE9F7" w:themeFill="text2" w:themeFillTint="1A"/>
            <w:vAlign w:val="center"/>
          </w:tcPr>
          <w:p w14:paraId="4F4F4D8B" w14:textId="13D1EE66" w:rsidR="003360EF" w:rsidRPr="00052069" w:rsidRDefault="009C58D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5206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DAE9F7" w:themeFill="text2" w:themeFillTint="1A"/>
            <w:vAlign w:val="center"/>
          </w:tcPr>
          <w:p w14:paraId="305EBC64" w14:textId="3CE6DE6E" w:rsidR="003360EF" w:rsidRPr="00052069" w:rsidRDefault="009C58D8" w:rsidP="00466279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sz w:val="18"/>
                <w:szCs w:val="18"/>
              </w:rPr>
              <w:t>42</w:t>
            </w:r>
          </w:p>
        </w:tc>
      </w:tr>
      <w:tr w:rsidR="00D24AE5" w:rsidRPr="00052069" w14:paraId="239A27BC" w14:textId="77777777" w:rsidTr="00920BD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D24AE5" w:rsidRPr="00052069" w:rsidRDefault="0009745F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Assignment</w:t>
            </w:r>
            <w:proofErr w:type="spellEnd"/>
            <w:r w:rsidR="00880F10"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4847E38F" w:rsidR="00D24AE5" w:rsidRPr="00052069" w:rsidRDefault="008B5A36" w:rsidP="004662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2069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2312" w:type="dxa"/>
            <w:gridSpan w:val="4"/>
            <w:shd w:val="clear" w:color="auto" w:fill="FFFFFF" w:themeFill="background1"/>
            <w:vAlign w:val="center"/>
          </w:tcPr>
          <w:p w14:paraId="17D6DB9F" w14:textId="08F1BC2B" w:rsidR="00D24AE5" w:rsidRPr="00052069" w:rsidRDefault="008B5A3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5206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FFFFFF" w:themeFill="background1"/>
            <w:vAlign w:val="center"/>
          </w:tcPr>
          <w:p w14:paraId="28B42FCA" w14:textId="0C94014E" w:rsidR="00D24AE5" w:rsidRPr="00052069" w:rsidRDefault="008B5A36" w:rsidP="00466279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sz w:val="18"/>
                <w:szCs w:val="18"/>
              </w:rPr>
              <w:t>42</w:t>
            </w:r>
          </w:p>
        </w:tc>
      </w:tr>
      <w:tr w:rsidR="00880F10" w:rsidRPr="00052069" w14:paraId="7ED1FBB5" w14:textId="77777777" w:rsidTr="00920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1C134A" w:rsidRPr="00052069" w:rsidRDefault="009C58D8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7668E995" w:rsidR="00880F10" w:rsidRPr="00052069" w:rsidRDefault="008B5A36" w:rsidP="004662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206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312" w:type="dxa"/>
            <w:gridSpan w:val="4"/>
            <w:shd w:val="clear" w:color="auto" w:fill="FFFFFF" w:themeFill="background1"/>
            <w:vAlign w:val="center"/>
          </w:tcPr>
          <w:p w14:paraId="3ECE207C" w14:textId="6FC1E3BE" w:rsidR="00880F10" w:rsidRPr="00052069" w:rsidRDefault="008B5A3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52069"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FFFFFF" w:themeFill="background1"/>
            <w:vAlign w:val="center"/>
          </w:tcPr>
          <w:p w14:paraId="04C11868" w14:textId="77B6E5B2" w:rsidR="00880F10" w:rsidRPr="00052069" w:rsidRDefault="008B5A36" w:rsidP="00466279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sz w:val="18"/>
                <w:szCs w:val="18"/>
              </w:rPr>
              <w:t>40</w:t>
            </w:r>
          </w:p>
        </w:tc>
      </w:tr>
      <w:tr w:rsidR="008B5A36" w:rsidRPr="00052069" w14:paraId="2E004008" w14:textId="77777777" w:rsidTr="00C11C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8B5A36" w:rsidRPr="00052069" w:rsidRDefault="008B5A36" w:rsidP="008B5A36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Midterm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Exam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(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Midterm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Exam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Duration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+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Midterm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Exam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Preparation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699E197D" w:rsidR="008B5A36" w:rsidRPr="00052069" w:rsidRDefault="008B5A36" w:rsidP="008B5A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206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312" w:type="dxa"/>
            <w:gridSpan w:val="4"/>
            <w:shd w:val="clear" w:color="auto" w:fill="DAE9F7" w:themeFill="text2" w:themeFillTint="1A"/>
          </w:tcPr>
          <w:p w14:paraId="0E99A2E3" w14:textId="01136EA3" w:rsidR="008B5A36" w:rsidRPr="00052069" w:rsidRDefault="008B5A36" w:rsidP="008B5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2069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DAE9F7" w:themeFill="text2" w:themeFillTint="1A"/>
            <w:vAlign w:val="center"/>
          </w:tcPr>
          <w:p w14:paraId="370AA247" w14:textId="398E84A4" w:rsidR="008B5A36" w:rsidRPr="00052069" w:rsidRDefault="008B5A36" w:rsidP="008B5A36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sz w:val="18"/>
                <w:szCs w:val="18"/>
              </w:rPr>
              <w:t>15</w:t>
            </w:r>
          </w:p>
        </w:tc>
      </w:tr>
      <w:tr w:rsidR="008B5A36" w:rsidRPr="00052069" w14:paraId="504FBA74" w14:textId="77777777" w:rsidTr="00C11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8B5A36" w:rsidRPr="00052069" w:rsidRDefault="008B5A36" w:rsidP="008B5A36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Final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Exam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(Final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Exam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Duration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+ Final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Exam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Preparation</w:t>
            </w:r>
            <w:proofErr w:type="spellEnd"/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7144C5E6" w:rsidR="008B5A36" w:rsidRPr="00052069" w:rsidRDefault="008B5A36" w:rsidP="008B5A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206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312" w:type="dxa"/>
            <w:gridSpan w:val="4"/>
            <w:shd w:val="clear" w:color="auto" w:fill="FFFFFF" w:themeFill="background1"/>
          </w:tcPr>
          <w:p w14:paraId="4444D1E5" w14:textId="52776BC2" w:rsidR="008B5A36" w:rsidRPr="00052069" w:rsidRDefault="008B5A36" w:rsidP="008B5A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2069"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6ADB306D" w:rsidR="008B5A36" w:rsidRPr="00052069" w:rsidRDefault="008B5A36" w:rsidP="008B5A36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sz w:val="18"/>
                <w:szCs w:val="18"/>
              </w:rPr>
              <w:t>25</w:t>
            </w:r>
          </w:p>
        </w:tc>
      </w:tr>
      <w:tr w:rsidR="00EC693D" w:rsidRPr="00052069" w14:paraId="4135CEFE" w14:textId="77777777" w:rsidTr="00920BD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7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693D" w:rsidRPr="00052069" w:rsidRDefault="0009745F" w:rsidP="00EC693D">
            <w:pPr>
              <w:jc w:val="righ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Cs w:val="0"/>
                <w:sz w:val="18"/>
                <w:szCs w:val="18"/>
              </w:rPr>
              <w:lastRenderedPageBreak/>
              <w:t>Total</w:t>
            </w:r>
            <w:r w:rsidR="00EC693D" w:rsidRPr="00052069">
              <w:rPr>
                <w:rFonts w:ascii="Arial" w:hAnsi="Arial" w:cs="Arial"/>
                <w:bCs w:val="0"/>
                <w:sz w:val="18"/>
                <w:szCs w:val="18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73175438" w:rsidR="00EC693D" w:rsidRPr="00052069" w:rsidRDefault="009C58D8" w:rsidP="00D41B6B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206</w:t>
            </w:r>
          </w:p>
        </w:tc>
      </w:tr>
      <w:tr w:rsidR="00EC693D" w:rsidRPr="00052069" w14:paraId="5C9094D3" w14:textId="77777777" w:rsidTr="00920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7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7A18749F" w:rsidR="00EC693D" w:rsidRPr="00052069" w:rsidRDefault="0009745F" w:rsidP="00EC693D">
            <w:pPr>
              <w:jc w:val="righ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Cs w:val="0"/>
                <w:sz w:val="18"/>
                <w:szCs w:val="18"/>
              </w:rPr>
              <w:t>Total</w:t>
            </w:r>
            <w:r w:rsidR="00EC693D" w:rsidRPr="00052069">
              <w:rPr>
                <w:rFonts w:ascii="Arial" w:hAnsi="Arial" w:cs="Arial"/>
                <w:bCs w:val="0"/>
                <w:sz w:val="18"/>
                <w:szCs w:val="18"/>
              </w:rPr>
              <w:t xml:space="preserve"> / 3</w:t>
            </w:r>
            <w:r w:rsidR="008B5A36" w:rsidRPr="00052069">
              <w:rPr>
                <w:rFonts w:ascii="Arial" w:hAnsi="Arial" w:cs="Arial"/>
                <w:bCs w:val="0"/>
                <w:sz w:val="18"/>
                <w:szCs w:val="18"/>
              </w:rPr>
              <w:t>1</w:t>
            </w:r>
            <w:r w:rsidR="00EC693D" w:rsidRPr="00052069">
              <w:rPr>
                <w:rFonts w:ascii="Arial" w:hAnsi="Arial" w:cs="Arial"/>
                <w:bCs w:val="0"/>
                <w:sz w:val="18"/>
                <w:szCs w:val="18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4BBFC6CC" w:rsidR="00EC693D" w:rsidRPr="00052069" w:rsidRDefault="009C58D8" w:rsidP="00D41B6B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sz w:val="18"/>
                <w:szCs w:val="18"/>
              </w:rPr>
              <w:t>206/31=6.6</w:t>
            </w:r>
          </w:p>
        </w:tc>
      </w:tr>
      <w:tr w:rsidR="00EC693D" w:rsidRPr="00052069" w14:paraId="2CA46DB3" w14:textId="77777777" w:rsidTr="00920BD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7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052069" w:rsidRDefault="0009745F" w:rsidP="00EC693D">
            <w:pPr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Cs w:val="0"/>
                <w:sz w:val="18"/>
                <w:szCs w:val="18"/>
              </w:rPr>
              <w:t xml:space="preserve">ECTS </w:t>
            </w:r>
            <w:proofErr w:type="spellStart"/>
            <w:r w:rsidRPr="00052069">
              <w:rPr>
                <w:rFonts w:ascii="Arial" w:hAnsi="Arial" w:cs="Arial"/>
                <w:bCs w:val="0"/>
                <w:sz w:val="18"/>
                <w:szCs w:val="18"/>
              </w:rPr>
              <w:t>Credit</w:t>
            </w:r>
            <w:proofErr w:type="spellEnd"/>
            <w:r w:rsidR="00EC693D" w:rsidRPr="00052069">
              <w:rPr>
                <w:rFonts w:ascii="Arial" w:hAnsi="Arial" w:cs="Arial"/>
                <w:bCs w:val="0"/>
                <w:sz w:val="18"/>
                <w:szCs w:val="18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173A5335" w:rsidR="00EC693D" w:rsidRPr="00052069" w:rsidRDefault="009C58D8" w:rsidP="00D41B6B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52069">
              <w:rPr>
                <w:rFonts w:ascii="Arial" w:hAnsi="Arial" w:cs="Arial"/>
                <w:b w:val="0"/>
                <w:sz w:val="18"/>
                <w:szCs w:val="18"/>
              </w:rPr>
              <w:t>7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6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42B7" w14:textId="77777777" w:rsidR="0065015E" w:rsidRDefault="0065015E" w:rsidP="0034027E">
      <w:r>
        <w:separator/>
      </w:r>
    </w:p>
  </w:endnote>
  <w:endnote w:type="continuationSeparator" w:id="0">
    <w:p w14:paraId="1529567B" w14:textId="77777777" w:rsidR="0065015E" w:rsidRDefault="0065015E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6343" w14:textId="77777777" w:rsidR="0065015E" w:rsidRDefault="0065015E" w:rsidP="0034027E">
      <w:r>
        <w:separator/>
      </w:r>
    </w:p>
  </w:footnote>
  <w:footnote w:type="continuationSeparator" w:id="0">
    <w:p w14:paraId="17CEE1D8" w14:textId="77777777" w:rsidR="0065015E" w:rsidRDefault="0065015E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069"/>
    <w:rsid w:val="00052E53"/>
    <w:rsid w:val="00085AD5"/>
    <w:rsid w:val="00090AED"/>
    <w:rsid w:val="0009745F"/>
    <w:rsid w:val="000A4453"/>
    <w:rsid w:val="000D384E"/>
    <w:rsid w:val="000F34D6"/>
    <w:rsid w:val="00102701"/>
    <w:rsid w:val="001140D4"/>
    <w:rsid w:val="001444DA"/>
    <w:rsid w:val="00146F98"/>
    <w:rsid w:val="00154070"/>
    <w:rsid w:val="001639F7"/>
    <w:rsid w:val="00170CC3"/>
    <w:rsid w:val="0017773A"/>
    <w:rsid w:val="0019361E"/>
    <w:rsid w:val="001966C9"/>
    <w:rsid w:val="001A1304"/>
    <w:rsid w:val="001A7816"/>
    <w:rsid w:val="001B0A2E"/>
    <w:rsid w:val="001B4DBF"/>
    <w:rsid w:val="001B5C97"/>
    <w:rsid w:val="001C134A"/>
    <w:rsid w:val="001C420A"/>
    <w:rsid w:val="001C7F25"/>
    <w:rsid w:val="001D3D43"/>
    <w:rsid w:val="001D4974"/>
    <w:rsid w:val="001F6F6B"/>
    <w:rsid w:val="00200197"/>
    <w:rsid w:val="00212A30"/>
    <w:rsid w:val="00233A78"/>
    <w:rsid w:val="00245195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04036"/>
    <w:rsid w:val="00422606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C2EB9"/>
    <w:rsid w:val="004E15BB"/>
    <w:rsid w:val="005118CA"/>
    <w:rsid w:val="00516A98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E0CA7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3346"/>
    <w:rsid w:val="00895E2A"/>
    <w:rsid w:val="008A022E"/>
    <w:rsid w:val="008B5A36"/>
    <w:rsid w:val="008D4F25"/>
    <w:rsid w:val="00905CD0"/>
    <w:rsid w:val="00911FE6"/>
    <w:rsid w:val="00916141"/>
    <w:rsid w:val="00920BDC"/>
    <w:rsid w:val="00933B97"/>
    <w:rsid w:val="0095080C"/>
    <w:rsid w:val="00964CAF"/>
    <w:rsid w:val="00973A60"/>
    <w:rsid w:val="00985E0F"/>
    <w:rsid w:val="00997C36"/>
    <w:rsid w:val="009C58D8"/>
    <w:rsid w:val="009C5DE7"/>
    <w:rsid w:val="009E445E"/>
    <w:rsid w:val="00A27D25"/>
    <w:rsid w:val="00A33F69"/>
    <w:rsid w:val="00A3554C"/>
    <w:rsid w:val="00A566C4"/>
    <w:rsid w:val="00A711BC"/>
    <w:rsid w:val="00A7625D"/>
    <w:rsid w:val="00A8032C"/>
    <w:rsid w:val="00A8173B"/>
    <w:rsid w:val="00A95C56"/>
    <w:rsid w:val="00AE16BE"/>
    <w:rsid w:val="00AF644C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043F"/>
    <w:rsid w:val="00BD622C"/>
    <w:rsid w:val="00BF06B4"/>
    <w:rsid w:val="00BF4629"/>
    <w:rsid w:val="00C35D30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05C8"/>
    <w:rsid w:val="00CA168A"/>
    <w:rsid w:val="00CA4CC6"/>
    <w:rsid w:val="00CA55B4"/>
    <w:rsid w:val="00CB40D6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7699F"/>
    <w:rsid w:val="00D86D4D"/>
    <w:rsid w:val="00DA3803"/>
    <w:rsid w:val="00DB0AEA"/>
    <w:rsid w:val="00DC07E8"/>
    <w:rsid w:val="00DD0194"/>
    <w:rsid w:val="00E02DF5"/>
    <w:rsid w:val="00E135DD"/>
    <w:rsid w:val="00E163AC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  <w:rsid w:val="00FE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uiPriority w:val="99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Gl">
    <w:name w:val="Strong"/>
    <w:uiPriority w:val="22"/>
    <w:qFormat/>
    <w:rsid w:val="00920BDC"/>
    <w:rPr>
      <w:b/>
      <w:bCs/>
    </w:rPr>
  </w:style>
  <w:style w:type="character" w:styleId="Vurgu">
    <w:name w:val="Emphasis"/>
    <w:basedOn w:val="VarsaylanParagrafYazTipi"/>
    <w:uiPriority w:val="20"/>
    <w:qFormat/>
    <w:rsid w:val="002451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849</Words>
  <Characters>5724</Characters>
  <Application>Microsoft Office Word</Application>
  <DocSecurity>0</DocSecurity>
  <Lines>47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senem dag</cp:lastModifiedBy>
  <cp:revision>24</cp:revision>
  <dcterms:created xsi:type="dcterms:W3CDTF">2025-09-29T10:39:00Z</dcterms:created>
  <dcterms:modified xsi:type="dcterms:W3CDTF">2025-09-29T10:59:00Z</dcterms:modified>
</cp:coreProperties>
</file>