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108"/>
        <w:gridCol w:w="601"/>
        <w:gridCol w:w="47"/>
        <w:gridCol w:w="353"/>
        <w:gridCol w:w="25"/>
        <w:gridCol w:w="250"/>
        <w:gridCol w:w="605"/>
        <w:gridCol w:w="245"/>
        <w:gridCol w:w="547"/>
        <w:gridCol w:w="246"/>
        <w:gridCol w:w="366"/>
        <w:gridCol w:w="684"/>
        <w:gridCol w:w="34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3844B830" w14:textId="77777777" w:rsidR="00463A5A" w:rsidRDefault="00463A5A" w:rsidP="00463A5A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36F1BE57" w14:textId="548823C0" w:rsidR="003D12CE" w:rsidRPr="003D12CE" w:rsidRDefault="003D12CE" w:rsidP="00463A5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  <w:p w14:paraId="0DE1DD46" w14:textId="2CBF4152" w:rsidR="005A2B8A" w:rsidRPr="007625C6" w:rsidRDefault="00463A5A" w:rsidP="003D12CE">
            <w:pPr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t>FACULTY OF ECONOMICS AN</w:t>
            </w:r>
          </w:p>
        </w:tc>
      </w:tr>
      <w:tr w:rsidR="00344B88" w:rsidRPr="00FC13D8" w14:paraId="09238E4D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F7F6FEE" w14:textId="408A9774" w:rsidR="00344B88" w:rsidRPr="00CB43FF" w:rsidRDefault="00CB43F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43FF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B43FF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26F5BC07" w14:textId="74156E26" w:rsidR="00344B88" w:rsidRPr="00CB43FF" w:rsidRDefault="00CB43FF" w:rsidP="00D85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3F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CB43F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22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C3B25B8" w14:textId="44D1F92B" w:rsidR="00344B88" w:rsidRPr="00CB43FF" w:rsidRDefault="00CB43FF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43FF">
              <w:rPr>
                <w:rFonts w:ascii="Arial" w:hAnsi="Arial" w:cs="Arial"/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422E121" w14:textId="599103CD" w:rsidR="00344B88" w:rsidRPr="00CB43FF" w:rsidRDefault="00CB43F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43FF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344B88" w:rsidRPr="00FE13AC" w14:paraId="6501456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3416D53F" w14:textId="2BF03A78" w:rsidR="00344B88" w:rsidRPr="00FE13AC" w:rsidRDefault="004B1C13" w:rsidP="004D4198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IFN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shd w:val="clear" w:color="auto" w:fill="FFFFFF" w:themeFill="background1"/>
          </w:tcPr>
          <w:p w14:paraId="6AFFB158" w14:textId="39FFDED1" w:rsidR="00344B88" w:rsidRPr="00FE13AC" w:rsidRDefault="00927AF3" w:rsidP="004D419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296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International Banking</w:t>
            </w:r>
          </w:p>
        </w:tc>
        <w:tc>
          <w:tcPr>
            <w:tcW w:w="2122" w:type="dxa"/>
            <w:gridSpan w:val="6"/>
            <w:shd w:val="clear" w:color="auto" w:fill="FFFFFF" w:themeFill="background1"/>
          </w:tcPr>
          <w:p w14:paraId="6E43668A" w14:textId="77777777" w:rsidR="00344B88" w:rsidRPr="00FE13AC" w:rsidRDefault="00344B88" w:rsidP="004D419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color w:val="000000"/>
                <w:sz w:val="22"/>
                <w:szCs w:val="22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AC1B9CA" w14:textId="182406BA" w:rsidR="00344B88" w:rsidRPr="00FE13AC" w:rsidRDefault="00927AF3" w:rsidP="004D4198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</w:tr>
      <w:tr w:rsidR="00344B88" w:rsidRPr="00FE13AC" w14:paraId="62F560A4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7CCFB9FB" w14:textId="4110AE80" w:rsidR="00344B88" w:rsidRPr="00FE13AC" w:rsidRDefault="00CB43FF" w:rsidP="00D8580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Courses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shd w:val="clear" w:color="auto" w:fill="FFFFFF" w:themeFill="background1"/>
            <w:vAlign w:val="center"/>
          </w:tcPr>
          <w:p w14:paraId="481EDC47" w14:textId="345B30E6" w:rsidR="00344B88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No</w:t>
            </w:r>
          </w:p>
        </w:tc>
      </w:tr>
      <w:tr w:rsidR="00CB43FF" w:rsidRPr="00FE13AC" w14:paraId="2094D37D" w14:textId="77777777" w:rsidTr="00C229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</w:tcPr>
          <w:p w14:paraId="7A894D0A" w14:textId="2A714389" w:rsidR="00CB43FF" w:rsidRPr="00FE13AC" w:rsidRDefault="00CB43FF" w:rsidP="004D4198">
            <w:pPr>
              <w:spacing w:before="24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Language: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</w:tcPr>
          <w:p w14:paraId="005D7432" w14:textId="5638A9C6" w:rsidR="00CB43FF" w:rsidRPr="00FE13AC" w:rsidRDefault="00CB43FF" w:rsidP="004D419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072" w:type="dxa"/>
            <w:gridSpan w:val="7"/>
            <w:shd w:val="clear" w:color="auto" w:fill="DAE9F7" w:themeFill="text2" w:themeFillTint="1A"/>
            <w:vAlign w:val="center"/>
          </w:tcPr>
          <w:p w14:paraId="1C3F4382" w14:textId="3DC3D8E2" w:rsidR="00CB43FF" w:rsidRPr="00FE13AC" w:rsidRDefault="00CB43FF" w:rsidP="004D419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sz w:val="22"/>
                <w:szCs w:val="22"/>
              </w:rPr>
              <w:t xml:space="preserve">Course Delivery </w:t>
            </w:r>
            <w:proofErr w:type="spellStart"/>
            <w:r w:rsidRPr="00FE13AC">
              <w:rPr>
                <w:rFonts w:ascii="Arial" w:hAnsi="Arial" w:cs="Arial"/>
                <w:b/>
                <w:sz w:val="22"/>
                <w:szCs w:val="22"/>
              </w:rPr>
              <w:t>Method</w:t>
            </w:r>
            <w:proofErr w:type="spellEnd"/>
            <w:r w:rsidRPr="00FE1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420DA58C" w14:textId="710DC9BE" w:rsidR="00CB43FF" w:rsidRPr="00FE13AC" w:rsidRDefault="00CB43FF" w:rsidP="004D4198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Face-to-face</w:t>
            </w:r>
            <w:proofErr w:type="spellEnd"/>
          </w:p>
        </w:tc>
      </w:tr>
      <w:tr w:rsidR="00344B88" w:rsidRPr="00FE13AC" w14:paraId="68EB9567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08821DE8" w14:textId="436E50CD" w:rsidR="00344B88" w:rsidRPr="00FE13AC" w:rsidRDefault="00CB43FF" w:rsidP="004D4198">
            <w:pPr>
              <w:spacing w:before="24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2C2094E" w14:textId="32AEA846" w:rsidR="00344B88" w:rsidRPr="00FE13AC" w:rsidRDefault="00CB43FF" w:rsidP="004D4198">
            <w:pPr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</w:p>
        </w:tc>
      </w:tr>
      <w:tr w:rsidR="00463A5A" w:rsidRPr="00FE13AC" w14:paraId="51EE7B0C" w14:textId="77777777" w:rsidTr="00D8580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0CF86BC" w14:textId="502493DB" w:rsidR="00463A5A" w:rsidRPr="00FE13AC" w:rsidRDefault="00463A5A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4709D82" w14:textId="5AC9D671" w:rsidR="00463A5A" w:rsidRPr="00FE13AC" w:rsidRDefault="00463A5A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575B72" w14:textId="5A355BD0" w:rsidR="00463A5A" w:rsidRPr="00FE13AC" w:rsidRDefault="00463A5A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55BE860" w14:textId="211F1741" w:rsidR="00463A5A" w:rsidRPr="00FE13AC" w:rsidRDefault="00463A5A" w:rsidP="00463A5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344B88" w:rsidRPr="00FE13AC" w14:paraId="107D7F7F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4F362D6" w14:textId="65EF264A" w:rsidR="00344B88" w:rsidRPr="00FE13AC" w:rsidRDefault="005B2B0A" w:rsidP="004D4198">
            <w:pPr>
              <w:spacing w:before="24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>Assist</w:t>
            </w:r>
            <w:proofErr w:type="spellEnd"/>
            <w:r w:rsidR="00CD69CD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>.</w:t>
            </w:r>
            <w:r w:rsidRPr="00895F33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 xml:space="preserve"> Prof. Dr. Ayşegül KURTULGAN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058878B5" w14:textId="282D55B7" w:rsidR="00927AF3" w:rsidRDefault="002F037D" w:rsidP="004D419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Tuesday</w:t>
            </w:r>
            <w:proofErr w:type="spellEnd"/>
          </w:p>
          <w:p w14:paraId="48237FA9" w14:textId="784CD8A6" w:rsidR="00344B88" w:rsidRPr="00FE13AC" w:rsidRDefault="002F037D" w:rsidP="002F037D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10:15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-12</w:t>
            </w:r>
            <w:r w:rsidR="004D419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D419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002EE224" w14:textId="77777777" w:rsidR="00927AF3" w:rsidRDefault="00927AF3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Wednesday</w:t>
            </w:r>
            <w:proofErr w:type="spellEnd"/>
          </w:p>
          <w:p w14:paraId="14E56105" w14:textId="02EE047D" w:rsidR="00344B88" w:rsidRPr="00FE13AC" w:rsidRDefault="00344B88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14.00-15.30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EC7C280" w14:textId="77777777" w:rsidR="00344B88" w:rsidRPr="00FE13AC" w:rsidRDefault="00344B88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aysegulkurtulgan@cag.edu.tr</w:t>
            </w:r>
          </w:p>
        </w:tc>
      </w:tr>
      <w:tr w:rsidR="00344B88" w:rsidRPr="00FE13AC" w14:paraId="3C39951A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216AC6B5" w14:textId="21A6316F" w:rsidR="00DB6BD3" w:rsidRPr="00FE13AC" w:rsidRDefault="00DB6BD3" w:rsidP="00DB6BD3">
            <w:pPr>
              <w:pStyle w:val="Balk2"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</w:t>
            </w:r>
            <w:r w:rsidR="004E3FDC"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Course Objectives</w:t>
            </w:r>
          </w:p>
          <w:p w14:paraId="38BCC0B4" w14:textId="2E2D783F" w:rsidR="00344B88" w:rsidRPr="00FE13AC" w:rsidRDefault="00344B88" w:rsidP="00D8580F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</w:p>
        </w:tc>
      </w:tr>
      <w:tr w:rsidR="004E3FDC" w:rsidRPr="00FE13AC" w14:paraId="28274718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0819ECE0" w14:textId="5E538CA2" w:rsidR="004E3FDC" w:rsidRPr="00FE13AC" w:rsidRDefault="004E3FDC" w:rsidP="00D8580F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 w:val="restart"/>
            <w:shd w:val="clear" w:color="auto" w:fill="FFFFFF" w:themeFill="background1"/>
            <w:vAlign w:val="center"/>
          </w:tcPr>
          <w:p w14:paraId="65A10C76" w14:textId="6E920814" w:rsidR="004E3FDC" w:rsidRPr="007D0DA2" w:rsidRDefault="007D0DA2" w:rsidP="00927AF3">
            <w:pPr>
              <w:pStyle w:val="HTMLncedenBiimlendirilmi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aim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International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is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introduce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practices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including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D0DA2">
              <w:rPr>
                <w:rFonts w:ascii="Arial" w:hAnsi="Arial" w:cs="Arial"/>
                <w:sz w:val="22"/>
                <w:szCs w:val="22"/>
              </w:rPr>
              <w:t>global</w:t>
            </w:r>
            <w:proofErr w:type="gram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operations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exchange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markets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risk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regulations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analytical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evaluating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E6808D2" w14:textId="423A682C" w:rsidR="004E3FDC" w:rsidRPr="007D0DA2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4E3FDC" w:rsidRPr="00FE13AC" w14:paraId="28E6385F" w14:textId="77777777" w:rsidTr="00D8580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5DF1F4A" w14:textId="77777777" w:rsidR="004E3FDC" w:rsidRPr="00FE13AC" w:rsidRDefault="004E3FDC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/>
            <w:shd w:val="clear" w:color="auto" w:fill="FFFFFF" w:themeFill="background1"/>
          </w:tcPr>
          <w:p w14:paraId="5BC01CDE" w14:textId="77777777" w:rsidR="004E3FDC" w:rsidRPr="007D0DA2" w:rsidRDefault="004E3FDC" w:rsidP="00D858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74205952" w14:textId="7A3185A2" w:rsidR="004E3FDC" w:rsidRPr="007D0DA2" w:rsidRDefault="004E3FDC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D0DA2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180F957A" w14:textId="7AA1B712" w:rsidR="004E3FDC" w:rsidRPr="007D0DA2" w:rsidRDefault="004E3FDC" w:rsidP="004E3FD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C72480" w:rsidRPr="00FE13AC" w14:paraId="1584B0E2" w14:textId="77777777" w:rsidTr="002A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30D6031" w14:textId="77777777" w:rsidR="00C72480" w:rsidRPr="00FE13AC" w:rsidRDefault="00C72480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32FFCCF" w14:textId="77777777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</w:tcPr>
          <w:p w14:paraId="73027633" w14:textId="53AA4A59" w:rsidR="00C72480" w:rsidRPr="007D0DA2" w:rsidRDefault="007D0DA2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structure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functions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importance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D0DA2">
              <w:rPr>
                <w:rFonts w:ascii="Arial" w:hAnsi="Arial" w:cs="Arial"/>
                <w:sz w:val="22"/>
                <w:szCs w:val="22"/>
              </w:rPr>
              <w:t>global</w:t>
            </w:r>
            <w:proofErr w:type="gram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407D7D09" w14:textId="53223CA6" w:rsidR="00C72480" w:rsidRPr="007D0DA2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DA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9329B83" w14:textId="62CF1CC2" w:rsidR="00C72480" w:rsidRPr="007D0DA2" w:rsidRDefault="00C7248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C72480" w:rsidRPr="00FE13AC" w14:paraId="0AC63852" w14:textId="77777777" w:rsidTr="002A734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E827BBC" w14:textId="77777777" w:rsidR="00C72480" w:rsidRPr="00FE13AC" w:rsidRDefault="00C72480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ED1A687" w14:textId="77777777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3"/>
            <w:shd w:val="clear" w:color="auto" w:fill="FFFFFF" w:themeFill="background1"/>
          </w:tcPr>
          <w:p w14:paraId="1BEE4A9C" w14:textId="0973F789" w:rsidR="00C72480" w:rsidRPr="007D0DA2" w:rsidRDefault="007D0DA2" w:rsidP="004D41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different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operations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including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correspondent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branches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subsidiaries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offshore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1FB0F3AD" w14:textId="130388D5" w:rsidR="00C72480" w:rsidRPr="007D0DA2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DA2">
              <w:rPr>
                <w:rFonts w:ascii="Arial" w:hAnsi="Arial" w:cs="Arial"/>
                <w:sz w:val="22"/>
                <w:szCs w:val="22"/>
              </w:rPr>
              <w:t xml:space="preserve">5 &amp; 7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28105BE" w14:textId="1D9153E0" w:rsidR="00C72480" w:rsidRPr="007D0DA2" w:rsidRDefault="00C7248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 &amp; 4</w:t>
            </w:r>
          </w:p>
        </w:tc>
      </w:tr>
      <w:tr w:rsidR="00C72480" w:rsidRPr="00FE13AC" w14:paraId="3BDAA367" w14:textId="77777777" w:rsidTr="002A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16B63A6" w14:textId="77777777" w:rsidR="00C72480" w:rsidRPr="00FE13AC" w:rsidRDefault="00C72480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FDACA8B" w14:textId="77777777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</w:tcPr>
          <w:p w14:paraId="47991E6C" w14:textId="4FFDAD05" w:rsidR="00C72480" w:rsidRPr="007D0DA2" w:rsidRDefault="007D0DA2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role of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multinational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facilitating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trade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capital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flows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5830EC9A" w14:textId="4AED93E8" w:rsidR="00C72480" w:rsidRPr="007D0DA2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DA2">
              <w:rPr>
                <w:rFonts w:ascii="Arial" w:hAnsi="Arial" w:cs="Arial"/>
                <w:sz w:val="22"/>
                <w:szCs w:val="22"/>
              </w:rPr>
              <w:t>5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67F1A1D7" w14:textId="72B65561" w:rsidR="00C72480" w:rsidRPr="007D0DA2" w:rsidRDefault="00C7248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 &amp; 4</w:t>
            </w:r>
          </w:p>
        </w:tc>
      </w:tr>
      <w:tr w:rsidR="00C72480" w:rsidRPr="00FE13AC" w14:paraId="752A880B" w14:textId="77777777" w:rsidTr="002A734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BB6848" w14:textId="77777777" w:rsidR="00C72480" w:rsidRPr="00FE13AC" w:rsidRDefault="00C72480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99C5F09" w14:textId="77777777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3"/>
            <w:shd w:val="clear" w:color="auto" w:fill="FFFFFF" w:themeFill="background1"/>
          </w:tcPr>
          <w:p w14:paraId="6EF69DAE" w14:textId="73A5A642" w:rsidR="00C72480" w:rsidRPr="007D0DA2" w:rsidRDefault="007D0DA2" w:rsidP="004D41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risks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associated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including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exchange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risk,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country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risk,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credit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risk,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liquidity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risk,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risk.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060C0C02" w14:textId="2449F832" w:rsidR="00C72480" w:rsidRPr="007D0DA2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DA2">
              <w:rPr>
                <w:rFonts w:ascii="Arial" w:hAnsi="Arial" w:cs="Arial"/>
                <w:sz w:val="22"/>
                <w:szCs w:val="22"/>
              </w:rPr>
              <w:lastRenderedPageBreak/>
              <w:t>5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17355C81" w14:textId="1500B254" w:rsidR="00C72480" w:rsidRPr="007D0DA2" w:rsidRDefault="00C7248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 &amp; 4</w:t>
            </w:r>
          </w:p>
        </w:tc>
      </w:tr>
      <w:tr w:rsidR="007D0DA2" w:rsidRPr="00FE13AC" w14:paraId="6BE44013" w14:textId="77777777" w:rsidTr="002A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02B3C923" w14:textId="77777777" w:rsidR="007D0DA2" w:rsidRPr="00FE13AC" w:rsidRDefault="007D0DA2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46380773" w14:textId="7DA136B2" w:rsidR="007D0DA2" w:rsidRPr="00FE13AC" w:rsidRDefault="007D0DA2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3"/>
            <w:shd w:val="clear" w:color="auto" w:fill="FFFFFF" w:themeFill="background1"/>
          </w:tcPr>
          <w:p w14:paraId="6E82A869" w14:textId="4CB2ACEF" w:rsidR="007D0DA2" w:rsidRPr="007D0DA2" w:rsidRDefault="007D0DA2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risk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instruments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manage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D0DA2">
              <w:rPr>
                <w:rFonts w:ascii="Arial" w:hAnsi="Arial" w:cs="Arial"/>
                <w:sz w:val="22"/>
                <w:szCs w:val="22"/>
              </w:rPr>
              <w:t>global</w:t>
            </w:r>
            <w:proofErr w:type="gram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sz w:val="22"/>
                <w:szCs w:val="22"/>
              </w:rPr>
              <w:t>risks</w:t>
            </w:r>
            <w:proofErr w:type="spellEnd"/>
            <w:r w:rsidRPr="007D0D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2583A8A0" w14:textId="7DE3A6F3" w:rsidR="007D0DA2" w:rsidRPr="007D0DA2" w:rsidRDefault="007D0DA2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DA2">
              <w:rPr>
                <w:rFonts w:ascii="Arial" w:hAnsi="Arial" w:cs="Arial"/>
                <w:sz w:val="22"/>
                <w:szCs w:val="22"/>
              </w:rPr>
              <w:t>5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46E8CBEE" w14:textId="2188B842" w:rsidR="007D0DA2" w:rsidRPr="007D0DA2" w:rsidRDefault="007D0DA2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 &amp; 4</w:t>
            </w:r>
          </w:p>
        </w:tc>
      </w:tr>
      <w:tr w:rsidR="00344B88" w:rsidRPr="00FE13AC" w14:paraId="734E8683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7197F7" w14:textId="2486CEC0" w:rsidR="00344B88" w:rsidRPr="00FE13AC" w:rsidRDefault="004E3FDC" w:rsidP="00D8580F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4DFA875" w14:textId="7ADE2BD1" w:rsidR="00344B88" w:rsidRPr="007D0DA2" w:rsidRDefault="007D0DA2" w:rsidP="00F54AB1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This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will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enable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understand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operations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their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role in </w:t>
            </w:r>
            <w:proofErr w:type="gram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global</w:t>
            </w:r>
            <w:proofErr w:type="gram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finance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It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covers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multinational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structures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foreign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exchange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markets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instruments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cross-border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activities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also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examines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risks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methods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used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manage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these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risks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, as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well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as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international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banking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regulations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gram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global</w:t>
            </w:r>
            <w:proofErr w:type="gram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developments</w:t>
            </w:r>
            <w:proofErr w:type="spellEnd"/>
            <w:r w:rsidRPr="007D0DA2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344B88" w:rsidRPr="00FE13AC" w14:paraId="49FC8B02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268B5304" w14:textId="4179B816" w:rsidR="00344B88" w:rsidRPr="00FE13AC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4E3FDC" w:rsidRPr="00FE13AC" w14:paraId="0448F96B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86D9B4C" w14:textId="3096AD7B" w:rsidR="004E3FDC" w:rsidRPr="00FE13AC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FEBAF11" w14:textId="0E830265" w:rsidR="004E3FDC" w:rsidRPr="00FE13AC" w:rsidRDefault="004E3FDC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  <w:vAlign w:val="center"/>
          </w:tcPr>
          <w:p w14:paraId="2FA7EDC7" w14:textId="2FF7628E" w:rsidR="004E3FDC" w:rsidRPr="00FE13AC" w:rsidRDefault="004E3FDC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5859B386" w14:textId="7010AC83" w:rsidR="004E3FDC" w:rsidRPr="00FE13AC" w:rsidRDefault="004E3FDC" w:rsidP="00D8580F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CB43FF" w:rsidRPr="00FE13AC" w14:paraId="31A6EE29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E953A43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0A418D06" w14:textId="77777777" w:rsidR="003D4ACA" w:rsidRPr="00D5083B" w:rsidRDefault="003D4ACA" w:rsidP="00D858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9059D" w14:textId="7B249572" w:rsidR="00CB43FF" w:rsidRPr="00D5083B" w:rsidRDefault="006B1556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sharing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regarding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2F8939D1" w14:textId="0081355A" w:rsidR="00CB43FF" w:rsidRPr="00D5083B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self-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introductions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E7BE257" w14:textId="29C6681E" w:rsidR="00CB43FF" w:rsidRPr="00D5083B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</w:p>
        </w:tc>
      </w:tr>
      <w:tr w:rsidR="00E87994" w:rsidRPr="00FE13AC" w14:paraId="69596885" w14:textId="77777777" w:rsidTr="003D4ACA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C0B6A77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0D0053B1" w14:textId="5C76F687" w:rsidR="00E87994" w:rsidRPr="00D5083B" w:rsidRDefault="002C39FE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International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– Definition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60975589" w14:textId="084F4A15" w:rsidR="00E87994" w:rsidRPr="00D5083B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D4ACA" w:rsidRPr="00D5083B">
              <w:rPr>
                <w:rFonts w:ascii="Arial" w:hAnsi="Arial" w:cs="Arial"/>
                <w:sz w:val="22"/>
                <w:szCs w:val="22"/>
              </w:rPr>
              <w:t xml:space="preserve">International </w:t>
            </w:r>
            <w:proofErr w:type="spellStart"/>
            <w:r w:rsidR="003D4ACA" w:rsidRPr="00D5083B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8B9575E" w14:textId="3788196F" w:rsidR="00E87994" w:rsidRPr="00D5083B" w:rsidRDefault="00D5083B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</w:p>
        </w:tc>
      </w:tr>
      <w:tr w:rsidR="00E87994" w:rsidRPr="00FE13AC" w14:paraId="44893444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60B9913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25FC30D1" w14:textId="0DD6676D" w:rsidR="00E87994" w:rsidRPr="00D5083B" w:rsidRDefault="002C39FE" w:rsidP="003D4A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56E97D45" w14:textId="364D9934" w:rsidR="00E87994" w:rsidRPr="00D5083B" w:rsidRDefault="003D4ACA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History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6779482" w14:textId="11AF9C5B" w:rsidR="00E87994" w:rsidRPr="00D5083B" w:rsidRDefault="00D5083B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</w:p>
        </w:tc>
      </w:tr>
      <w:tr w:rsidR="00E87994" w:rsidRPr="00FE13AC" w14:paraId="023F84C9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EA6E3E7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381EE88" w14:textId="3FD62062" w:rsidR="00E87994" w:rsidRPr="00D5083B" w:rsidRDefault="002C39FE" w:rsidP="00E87994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  <w:lang w:val="en-US"/>
              </w:rPr>
              <w:t>Types of International Banking Offices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6AA8BA89" w14:textId="16201EBE" w:rsidR="00E87994" w:rsidRPr="00D5083B" w:rsidRDefault="003D4ACA" w:rsidP="00947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D5083B">
              <w:rPr>
                <w:rFonts w:ascii="Arial" w:hAnsi="Arial" w:cs="Arial"/>
                <w:sz w:val="22"/>
                <w:szCs w:val="22"/>
                <w:lang w:val="en-US"/>
              </w:rPr>
              <w:t>Types of International Banking Offices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608FF85" w14:textId="3F22B5E4" w:rsidR="00E87994" w:rsidRPr="00D5083B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E87994" w:rsidRPr="00FE13AC" w14:paraId="079FAE04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9D5C2F9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78A5ADE3" w14:textId="20549CF8" w:rsidR="00E87994" w:rsidRPr="00D5083B" w:rsidRDefault="002C39FE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bCs/>
                <w:sz w:val="22"/>
                <w:szCs w:val="22"/>
                <w:lang w:val="en-IN"/>
              </w:rPr>
              <w:t>Capital Adequacy Standards</w:t>
            </w:r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904C757" w14:textId="0F6D8CB6" w:rsidR="00E87994" w:rsidRPr="00D5083B" w:rsidRDefault="00E87994" w:rsidP="003D4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="003D4ACA" w:rsidRPr="00D5083B">
              <w:rPr>
                <w:rFonts w:ascii="Arial" w:hAnsi="Arial" w:cs="Arial"/>
                <w:bCs/>
                <w:sz w:val="22"/>
                <w:szCs w:val="22"/>
                <w:lang w:val="en-IN"/>
              </w:rPr>
              <w:t xml:space="preserve"> </w:t>
            </w:r>
            <w:r w:rsidR="003D4ACA" w:rsidRPr="00D5083B">
              <w:rPr>
                <w:rFonts w:ascii="Arial" w:hAnsi="Arial" w:cs="Arial"/>
                <w:bCs/>
                <w:sz w:val="22"/>
                <w:szCs w:val="22"/>
                <w:lang w:val="en-IN"/>
              </w:rPr>
              <w:t>Capital Adequacy Standards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89FDAF4" w14:textId="078EAE5C" w:rsidR="00E87994" w:rsidRPr="00D5083B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Problem-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Learning (PBL)</w:t>
            </w:r>
          </w:p>
        </w:tc>
      </w:tr>
      <w:tr w:rsidR="00E87994" w:rsidRPr="00FE13AC" w14:paraId="671D4F0E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E38E19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BCF02DE" w14:textId="321F24D3" w:rsidR="00E87994" w:rsidRPr="00D5083B" w:rsidRDefault="002C39FE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bCs/>
                <w:sz w:val="22"/>
                <w:szCs w:val="22"/>
                <w:lang w:val="en-IN"/>
              </w:rPr>
              <w:t>International Money Market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3CA8B0EC" w14:textId="11F36183" w:rsidR="00000000" w:rsidRPr="00D5083B" w:rsidRDefault="00B62E90" w:rsidP="003D4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International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ADB172" w14:textId="77C0DB44" w:rsidR="00E87994" w:rsidRPr="00D5083B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57D6875" w14:textId="658D9A5F" w:rsidR="00E87994" w:rsidRPr="00D5083B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CB43FF" w:rsidRPr="00FE13AC" w14:paraId="30F0225C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EC458" w14:textId="77777777" w:rsidR="00CB43FF" w:rsidRPr="00FE13AC" w:rsidRDefault="00CB43FF" w:rsidP="003D4A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366F5244" w14:textId="5CBA30DE" w:rsidR="00CB43FF" w:rsidRPr="00D5083B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8A1AFFF" w14:textId="3CF921E0" w:rsidR="00CB43FF" w:rsidRPr="00D5083B" w:rsidRDefault="00E87994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Pre-studied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EDD7577" w14:textId="6A4215DB" w:rsidR="00CB43FF" w:rsidRPr="00D5083B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E87994" w:rsidRPr="00FE13AC" w14:paraId="767D955E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762EBE2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78FFE303" w14:textId="5A87CDF8" w:rsidR="00E87994" w:rsidRPr="00D5083B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0C2AB9AA" w14:textId="5F51EAF1" w:rsidR="00E87994" w:rsidRPr="00D5083B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0AEE5F66" w14:textId="77777777" w:rsidR="003050BD" w:rsidRPr="00D5083B" w:rsidRDefault="003050BD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5E22C21C" w14:textId="0F8EE41B" w:rsidR="00E87994" w:rsidRPr="00D5083B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87994" w:rsidRPr="00FE13AC" w14:paraId="17FD8A08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AD83840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63F2C7E3" w14:textId="26F58E78" w:rsidR="00E87994" w:rsidRPr="00D5083B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3EB4B18" w14:textId="08CB7151" w:rsidR="00E87994" w:rsidRPr="00D5083B" w:rsidRDefault="00E87994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90ECDE5" w14:textId="7FC6F2F6" w:rsidR="00E87994" w:rsidRPr="00D5083B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4A2B8C" w:rsidRPr="00FE13AC" w14:paraId="01B99EFE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4A52574" w14:textId="77777777" w:rsidR="004A2B8C" w:rsidRPr="00FE13AC" w:rsidRDefault="004A2B8C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7E9AB717" w14:textId="321C9CA7" w:rsidR="004A2B8C" w:rsidRPr="00D5083B" w:rsidRDefault="004A2B8C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International Financial Instruments: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Derivative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Financial Instruments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06EF98D" w14:textId="445FF213" w:rsidR="004A2B8C" w:rsidRPr="00D5083B" w:rsidRDefault="004A2B8C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C55C6D4" w14:textId="1C728A1D" w:rsidR="004A2B8C" w:rsidRPr="00D5083B" w:rsidRDefault="004A2B8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4A2B8C" w:rsidRPr="00FE13AC" w14:paraId="3E09C3E0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9152002" w14:textId="77777777" w:rsidR="004A2B8C" w:rsidRPr="00FE13AC" w:rsidRDefault="004A2B8C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A79CD3C" w14:textId="713E3A7C" w:rsidR="004A2B8C" w:rsidRPr="00D5083B" w:rsidRDefault="004A2B8C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International Financial Instruments: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Derivative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Financial Instruments</w:t>
            </w:r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472B42E9" w14:textId="603AF244" w:rsidR="004A2B8C" w:rsidRPr="00D5083B" w:rsidRDefault="00D5083B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53B466E" w14:textId="44989D61" w:rsidR="004A2B8C" w:rsidRPr="00D5083B" w:rsidRDefault="004A2B8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</w:p>
        </w:tc>
      </w:tr>
      <w:tr w:rsidR="004A2B8C" w:rsidRPr="00FE13AC" w14:paraId="62ED08B2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7AC4105" w14:textId="77777777" w:rsidR="004A2B8C" w:rsidRPr="00FE13AC" w:rsidRDefault="004A2B8C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6470BB9" w14:textId="7B5697D0" w:rsidR="004A2B8C" w:rsidRPr="00D5083B" w:rsidRDefault="004A2B8C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International Financial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: Leasing,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Factoring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Forfaiting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2E9986CF" w14:textId="6AEEF020" w:rsidR="004A2B8C" w:rsidRPr="00D5083B" w:rsidRDefault="00D5083B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2D57B6E" w14:textId="3E6CCB3D" w:rsidR="004A2B8C" w:rsidRPr="00D5083B" w:rsidRDefault="004A2B8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</w:p>
        </w:tc>
      </w:tr>
      <w:tr w:rsidR="004A2B8C" w:rsidRPr="00FE13AC" w14:paraId="076B89EE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A73776C" w14:textId="77777777" w:rsidR="004A2B8C" w:rsidRPr="00FE13AC" w:rsidRDefault="004A2B8C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7AB92D24" w14:textId="440AEEA3" w:rsidR="004A2B8C" w:rsidRPr="00D5083B" w:rsidRDefault="004A2B8C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International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Debt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2D05C626" w14:textId="78D0B7A1" w:rsidR="004A2B8C" w:rsidRPr="00D5083B" w:rsidRDefault="00D5083B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Debt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18F7440" w14:textId="4A17BAD5" w:rsidR="004A2B8C" w:rsidRPr="00D5083B" w:rsidRDefault="004A2B8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4A2B8C" w:rsidRPr="00FE13AC" w14:paraId="468EEE3D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397184C" w14:textId="77777777" w:rsidR="004A2B8C" w:rsidRPr="00FE13AC" w:rsidRDefault="004A2B8C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68BF53A" w14:textId="7271C897" w:rsidR="004A2B8C" w:rsidRPr="00D5083B" w:rsidRDefault="004A2B8C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Risk Management in International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24B6ED7" w14:textId="5C0FE563" w:rsidR="004A2B8C" w:rsidRPr="00D5083B" w:rsidRDefault="00D5083B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5083B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quantitative</w:t>
            </w:r>
            <w:proofErr w:type="spellEnd"/>
            <w:proofErr w:type="gram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2E7ED7E" w14:textId="1BD35CFA" w:rsidR="004A2B8C" w:rsidRPr="00D5083B" w:rsidRDefault="004A2B8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4A2B8C" w:rsidRPr="00FE13AC" w14:paraId="32AE4FBA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456708D" w14:textId="77777777" w:rsidR="004A2B8C" w:rsidRPr="00FE13AC" w:rsidRDefault="004A2B8C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3328BB9F" w14:textId="12293FD8" w:rsidR="004A2B8C" w:rsidRPr="00D5083B" w:rsidRDefault="004A2B8C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Risk Management in International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3CB299E7" w14:textId="2FD6C9C9" w:rsidR="004A2B8C" w:rsidRPr="00D5083B" w:rsidRDefault="00D5083B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5083B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quantitative</w:t>
            </w:r>
            <w:proofErr w:type="spellEnd"/>
            <w:proofErr w:type="gram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AC71646" w14:textId="09AF5F8A" w:rsidR="004A2B8C" w:rsidRPr="00D5083B" w:rsidRDefault="004A2B8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E87994" w:rsidRPr="00FE13AC" w14:paraId="5BBBFA8C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435534E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6CC9D523" w14:textId="6246CB81" w:rsidR="00E87994" w:rsidRPr="00D5083B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6029EF2" w14:textId="4C08096D" w:rsidR="00E87994" w:rsidRPr="00D5083B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Pre-studied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D986DDF" w14:textId="6F4338DB" w:rsidR="00E87994" w:rsidRPr="00D5083B" w:rsidRDefault="003050BD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E87994" w:rsidRPr="00FE13AC" w14:paraId="5104ADBE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587B47C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5223DAE7" w14:textId="76DCA12A" w:rsidR="00E87994" w:rsidRPr="00D5083B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43A037BB" w14:textId="091FBB94" w:rsidR="00E87994" w:rsidRPr="00D5083B" w:rsidRDefault="00E87994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2466104" w14:textId="216BD5CA" w:rsidR="00E87994" w:rsidRPr="00D5083B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E87994" w:rsidRPr="00FE13AC" w14:paraId="4B49F0B4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B8A4351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245467A" w14:textId="40F562A0" w:rsidR="00E87994" w:rsidRPr="00D5083B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08F5BB3" w14:textId="20D56F77" w:rsidR="00E87994" w:rsidRPr="00D5083B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B0C208F" w14:textId="3721EBD1" w:rsidR="00E87994" w:rsidRPr="00D5083B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E87994" w:rsidRPr="00FE13AC" w14:paraId="059D3C5F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1269F308" w14:textId="618F2517" w:rsidR="00E87994" w:rsidRPr="00D5083B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D5083B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</w:tr>
      <w:tr w:rsidR="00E87994" w:rsidRPr="00FE13AC" w14:paraId="51185724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C21C068" w14:textId="0DB4261D" w:rsidR="00E87994" w:rsidRPr="00D5083B" w:rsidRDefault="00E87994" w:rsidP="00CB43F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7"/>
            <w:shd w:val="clear" w:color="auto" w:fill="FFFFFF" w:themeFill="background1"/>
            <w:vAlign w:val="center"/>
          </w:tcPr>
          <w:p w14:paraId="35DF42F4" w14:textId="7FFA1682" w:rsidR="00E87994" w:rsidRPr="007D0DA2" w:rsidRDefault="007D0DA2" w:rsidP="00D85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D0DA2">
              <w:rPr>
                <w:rFonts w:ascii="Arial" w:hAnsi="Arial" w:cs="Arial"/>
                <w:b w:val="0"/>
                <w:color w:val="2A2C2E"/>
                <w:sz w:val="22"/>
                <w:szCs w:val="22"/>
                <w:shd w:val="clear" w:color="auto" w:fill="FFFFFF"/>
              </w:rPr>
              <w:t>Cheol</w:t>
            </w:r>
            <w:proofErr w:type="spellEnd"/>
            <w:r w:rsidRPr="007D0DA2">
              <w:rPr>
                <w:rFonts w:ascii="Arial" w:hAnsi="Arial" w:cs="Arial"/>
                <w:b w:val="0"/>
                <w:color w:val="2A2C2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D0DA2">
              <w:rPr>
                <w:rFonts w:ascii="Arial" w:hAnsi="Arial" w:cs="Arial"/>
                <w:b w:val="0"/>
                <w:color w:val="2A2C2E"/>
                <w:sz w:val="22"/>
                <w:szCs w:val="22"/>
                <w:shd w:val="clear" w:color="auto" w:fill="FFFFFF"/>
              </w:rPr>
              <w:t>Eun</w:t>
            </w:r>
            <w:proofErr w:type="spellEnd"/>
            <w:r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E87994"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(2019</w:t>
            </w:r>
            <w:r w:rsidR="00E87994" w:rsidRPr="007D0DA2">
              <w:rPr>
                <w:rFonts w:ascii="Arial" w:hAnsi="Arial" w:cs="Arial"/>
                <w:bCs w:val="0"/>
                <w:sz w:val="22"/>
                <w:szCs w:val="22"/>
              </w:rPr>
              <w:t xml:space="preserve">). </w:t>
            </w:r>
            <w:r w:rsidRPr="007D0DA2">
              <w:rPr>
                <w:rStyle w:val="Gl"/>
                <w:rFonts w:ascii="Arial" w:hAnsi="Arial" w:cs="Arial"/>
                <w:color w:val="2A2C2E"/>
                <w:sz w:val="22"/>
                <w:szCs w:val="22"/>
                <w:shd w:val="clear" w:color="auto" w:fill="FFFFFF"/>
              </w:rPr>
              <w:t>International Financial Management</w:t>
            </w:r>
            <w:r w:rsidR="00E87994" w:rsidRPr="007D0DA2">
              <w:rPr>
                <w:rFonts w:ascii="Arial" w:hAnsi="Arial" w:cs="Arial"/>
                <w:bCs w:val="0"/>
                <w:sz w:val="22"/>
                <w:szCs w:val="22"/>
              </w:rPr>
              <w:t xml:space="preserve"> (</w:t>
            </w:r>
            <w:r w:rsidR="00E87994"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10th ed.). United </w:t>
            </w:r>
            <w:proofErr w:type="spellStart"/>
            <w:r w:rsidR="00E87994"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States</w:t>
            </w:r>
            <w:proofErr w:type="spellEnd"/>
            <w:r w:rsidR="00E87994"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E87994"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America</w:t>
            </w:r>
            <w:proofErr w:type="spellEnd"/>
            <w:r w:rsidR="00E87994"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="00E87994"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McGraw</w:t>
            </w:r>
            <w:proofErr w:type="spellEnd"/>
            <w:r w:rsidR="00E87994"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E87994"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Hill</w:t>
            </w:r>
            <w:proofErr w:type="spellEnd"/>
            <w:r w:rsidR="00E87994" w:rsidRPr="007D0D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87994" w:rsidRPr="00FE13AC" w14:paraId="447885E9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DD3EB60" w14:textId="162A23E2" w:rsidR="00E87994" w:rsidRPr="00D5083B" w:rsidRDefault="00E87994" w:rsidP="00D8580F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7"/>
            <w:shd w:val="clear" w:color="auto" w:fill="FFFFFF" w:themeFill="background1"/>
            <w:vAlign w:val="center"/>
          </w:tcPr>
          <w:p w14:paraId="35F99FE9" w14:textId="0B5CA9A4" w:rsidR="00E87994" w:rsidRPr="007D0DA2" w:rsidRDefault="00B62E90" w:rsidP="00D85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9" w:history="1">
              <w:r w:rsidR="002E1565" w:rsidRPr="007D0DA2">
                <w:rPr>
                  <w:rStyle w:val="Kpr"/>
                  <w:rFonts w:ascii="Arial" w:hAnsi="Arial" w:cs="Arial"/>
                  <w:b w:val="0"/>
                  <w:bCs w:val="0"/>
                  <w:color w:val="auto"/>
                  <w:sz w:val="22"/>
                  <w:szCs w:val="22"/>
                </w:rPr>
                <w:t>http://www.spl.com.tr</w:t>
              </w:r>
            </w:hyperlink>
            <w:r w:rsidR="002E1565" w:rsidRPr="007D0DA2">
              <w:rPr>
                <w:rStyle w:val="Kpr"/>
                <w:rFonts w:ascii="Arial" w:hAnsi="Arial" w:cs="Arial"/>
                <w:b w:val="0"/>
                <w:color w:val="auto"/>
                <w:sz w:val="22"/>
                <w:szCs w:val="22"/>
              </w:rPr>
              <w:t>;https://www.tbb.org.tr</w:t>
            </w:r>
          </w:p>
        </w:tc>
      </w:tr>
      <w:tr w:rsidR="00E87994" w:rsidRPr="00FE13AC" w14:paraId="0A3AC988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5EB6146F" w14:textId="192EF698" w:rsidR="00E87994" w:rsidRPr="00D5083B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5083B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E87994" w:rsidRPr="00FE13AC" w14:paraId="1B595F32" w14:textId="77777777" w:rsidTr="0038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C522CC4" w14:textId="641662AC" w:rsidR="00E87994" w:rsidRPr="00D5083B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" w:type="dxa"/>
            <w:gridSpan w:val="2"/>
            <w:shd w:val="clear" w:color="auto" w:fill="DAE9F7" w:themeFill="text2" w:themeFillTint="1A"/>
            <w:vAlign w:val="center"/>
          </w:tcPr>
          <w:p w14:paraId="478C242F" w14:textId="704F56FB" w:rsidR="00E87994" w:rsidRPr="00D5083B" w:rsidRDefault="00E87994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276" w:type="dxa"/>
            <w:gridSpan w:val="5"/>
            <w:shd w:val="clear" w:color="auto" w:fill="DAE9F7" w:themeFill="text2" w:themeFillTint="1A"/>
            <w:vAlign w:val="center"/>
          </w:tcPr>
          <w:p w14:paraId="6654F5C4" w14:textId="6AC61470" w:rsidR="00E87994" w:rsidRPr="00D5083B" w:rsidRDefault="00E87994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27" w:type="dxa"/>
            <w:gridSpan w:val="10"/>
            <w:shd w:val="clear" w:color="auto" w:fill="DAE9F7" w:themeFill="text2" w:themeFillTint="1A"/>
            <w:vAlign w:val="center"/>
          </w:tcPr>
          <w:p w14:paraId="6465401C" w14:textId="5A293021" w:rsidR="00E87994" w:rsidRPr="00D5083B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E87994" w:rsidRPr="00FE13AC" w14:paraId="16266FD5" w14:textId="77777777" w:rsidTr="003863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4EA5BFA7" w14:textId="68E53DD9" w:rsidR="00E87994" w:rsidRPr="00D5083B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Midterm</w:t>
            </w:r>
            <w:proofErr w:type="spellEnd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" w:type="dxa"/>
            <w:gridSpan w:val="2"/>
            <w:shd w:val="clear" w:color="auto" w:fill="FFFFFF" w:themeFill="background1"/>
            <w:vAlign w:val="center"/>
          </w:tcPr>
          <w:p w14:paraId="47B6563D" w14:textId="77777777" w:rsidR="00E87994" w:rsidRPr="00D5083B" w:rsidRDefault="00E87994" w:rsidP="00D858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083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3"/>
            <w:shd w:val="clear" w:color="auto" w:fill="FFFFFF" w:themeFill="background1"/>
            <w:vAlign w:val="center"/>
          </w:tcPr>
          <w:p w14:paraId="39174391" w14:textId="77777777" w:rsidR="00E87994" w:rsidRPr="00D5083B" w:rsidRDefault="00E87994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FFFFFF" w:themeFill="background1"/>
          </w:tcPr>
          <w:p w14:paraId="4C87F09C" w14:textId="0163172E" w:rsidR="00E87994" w:rsidRPr="00D5083B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Covers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Topics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1,2,3,4,5,6</w:t>
            </w:r>
            <w:proofErr w:type="gramEnd"/>
          </w:p>
        </w:tc>
      </w:tr>
      <w:tr w:rsidR="00E87994" w:rsidRPr="00FE13AC" w14:paraId="518B52A3" w14:textId="77777777" w:rsidTr="0038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5B9D0C14" w14:textId="57F6F0FA" w:rsidR="00E87994" w:rsidRPr="00D5083B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 xml:space="preserve">Final </w:t>
            </w:r>
            <w:proofErr w:type="spellStart"/>
            <w:r w:rsidRPr="00D5083B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" w:type="dxa"/>
            <w:gridSpan w:val="2"/>
            <w:shd w:val="clear" w:color="auto" w:fill="DAE9F7" w:themeFill="text2" w:themeFillTint="1A"/>
            <w:vAlign w:val="center"/>
          </w:tcPr>
          <w:p w14:paraId="32E542F8" w14:textId="77777777" w:rsidR="00E87994" w:rsidRPr="00D5083B" w:rsidRDefault="00E87994" w:rsidP="00D858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083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3"/>
            <w:shd w:val="clear" w:color="auto" w:fill="DAE9F7" w:themeFill="text2" w:themeFillTint="1A"/>
            <w:vAlign w:val="center"/>
          </w:tcPr>
          <w:p w14:paraId="2046E68F" w14:textId="77777777" w:rsidR="00E87994" w:rsidRPr="00D5083B" w:rsidRDefault="00E87994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5083B">
              <w:rPr>
                <w:rFonts w:ascii="Arial" w:hAnsi="Arial" w:cs="Arial"/>
                <w:bCs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DAE9F7" w:themeFill="text2" w:themeFillTint="1A"/>
          </w:tcPr>
          <w:p w14:paraId="5B07B3D8" w14:textId="517CE600" w:rsidR="00E87994" w:rsidRPr="00D5083B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Covers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Topics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9,10,11,12,13,14,15</w:t>
            </w:r>
            <w:proofErr w:type="gramEnd"/>
          </w:p>
        </w:tc>
      </w:tr>
      <w:tr w:rsidR="00E87994" w:rsidRPr="00FE13AC" w14:paraId="13CE4CB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68EE2A01" w14:textId="75ED25F9" w:rsidR="00E87994" w:rsidRPr="00D5083B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D5083B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E87994" w:rsidRPr="00FE13AC" w14:paraId="65786FF0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C610474" w14:textId="009826AC" w:rsidR="00E87994" w:rsidRPr="00D5083B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60F4D465" w14:textId="55B3825F" w:rsidR="00E87994" w:rsidRPr="00D5083B" w:rsidRDefault="00E87994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04" w:type="dxa"/>
            <w:gridSpan w:val="9"/>
            <w:shd w:val="clear" w:color="auto" w:fill="DAE9F7" w:themeFill="text2" w:themeFillTint="1A"/>
            <w:vAlign w:val="center"/>
          </w:tcPr>
          <w:p w14:paraId="2B850314" w14:textId="4BBDF4B9" w:rsidR="00E87994" w:rsidRPr="00D5083B" w:rsidRDefault="00E87994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28D3EEAF" w14:textId="4230FEA6" w:rsidR="00E87994" w:rsidRPr="00D5083B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2E1565" w:rsidRPr="00FE13AC" w14:paraId="7B1827F2" w14:textId="77777777" w:rsidTr="00A637B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86B2526" w14:textId="6CA0338E" w:rsidR="002E1565" w:rsidRPr="00D5083B" w:rsidRDefault="002E1565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0" w:name="_GoBack" w:colFirst="0" w:colLast="0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</w:tcPr>
          <w:p w14:paraId="217D1047" w14:textId="1A49F264" w:rsidR="002E1565" w:rsidRPr="00D5083B" w:rsidRDefault="002E1565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9"/>
            <w:shd w:val="clear" w:color="auto" w:fill="FFFFFF" w:themeFill="background1"/>
          </w:tcPr>
          <w:p w14:paraId="55E635BB" w14:textId="5B62F4B2" w:rsidR="002E1565" w:rsidRPr="00D5083B" w:rsidRDefault="002E1565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BA81AC6" w14:textId="3157E6FC" w:rsidR="002E1565" w:rsidRPr="00D5083B" w:rsidRDefault="002E1565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2E1565" w:rsidRPr="00FE13AC" w14:paraId="42CF0E2A" w14:textId="77777777" w:rsidTr="00A6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8C15F3B" w14:textId="29A92C5B" w:rsidR="002E1565" w:rsidRPr="00D5083B" w:rsidRDefault="002E1565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</w:tcPr>
          <w:p w14:paraId="5D6F3F10" w14:textId="3AE95A4B" w:rsidR="002E1565" w:rsidRPr="00D5083B" w:rsidRDefault="002E1565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9"/>
            <w:shd w:val="clear" w:color="auto" w:fill="DAE9F7" w:themeFill="text2" w:themeFillTint="1A"/>
          </w:tcPr>
          <w:p w14:paraId="0FD3207B" w14:textId="36B5CDB7" w:rsidR="002E1565" w:rsidRPr="00D5083B" w:rsidRDefault="002E1565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191D617" w14:textId="10D419E2" w:rsidR="002E1565" w:rsidRPr="00D5083B" w:rsidRDefault="002E1565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2E1565" w:rsidRPr="00FE13AC" w14:paraId="338D5CAC" w14:textId="77777777" w:rsidTr="00A637B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09996F51" w14:textId="3B3826D2" w:rsidR="002E1565" w:rsidRPr="00D5083B" w:rsidRDefault="002E1565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</w:tcPr>
          <w:p w14:paraId="5E503E6E" w14:textId="57375CF5" w:rsidR="002E1565" w:rsidRPr="00D5083B" w:rsidRDefault="002E1565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9"/>
            <w:shd w:val="clear" w:color="auto" w:fill="DAE9F7" w:themeFill="text2" w:themeFillTint="1A"/>
          </w:tcPr>
          <w:p w14:paraId="4777F128" w14:textId="31E7F4FF" w:rsidR="002E1565" w:rsidRPr="00D5083B" w:rsidRDefault="009203F0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E1565" w:rsidRPr="00D5083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5F6B5449" w14:textId="07DC05B3" w:rsidR="002E1565" w:rsidRPr="00D5083B" w:rsidRDefault="009203F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E1565" w:rsidRPr="00D5083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E1565" w:rsidRPr="00FE13AC" w14:paraId="7F8CFB4E" w14:textId="77777777" w:rsidTr="002E1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128F864" w14:textId="5B25278A" w:rsidR="002E1565" w:rsidRPr="00D5083B" w:rsidRDefault="002E1565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D5083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</w:tcPr>
          <w:p w14:paraId="2BCE003A" w14:textId="3C427135" w:rsidR="002E1565" w:rsidRPr="00D5083B" w:rsidRDefault="002E1565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083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9"/>
            <w:shd w:val="clear" w:color="auto" w:fill="FFFFFF" w:themeFill="background1"/>
          </w:tcPr>
          <w:p w14:paraId="18EB7A21" w14:textId="2C9FE3BC" w:rsidR="002E1565" w:rsidRPr="00D5083B" w:rsidRDefault="009203F0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E1565" w:rsidRPr="00D5083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CB8FB4A" w14:textId="7FEC65AB" w:rsidR="002E1565" w:rsidRPr="00D5083B" w:rsidRDefault="009203F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E1565" w:rsidRPr="00D5083B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bookmarkEnd w:id="0"/>
      <w:tr w:rsidR="002E1565" w:rsidRPr="00FE13AC" w14:paraId="23521FAC" w14:textId="77777777" w:rsidTr="004B31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E91CCBB" w14:textId="30E77A05" w:rsidR="002E1565" w:rsidRPr="00D5083B" w:rsidRDefault="002E1565" w:rsidP="00D8580F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A680345" w14:textId="1A32CC74" w:rsidR="002E1565" w:rsidRPr="00D5083B" w:rsidRDefault="009203F0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</w:p>
        </w:tc>
      </w:tr>
      <w:tr w:rsidR="002E1565" w:rsidRPr="00FE13AC" w14:paraId="0819A640" w14:textId="77777777" w:rsidTr="004B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095C667" w14:textId="419DE03C" w:rsidR="002E1565" w:rsidRPr="00D5083B" w:rsidRDefault="002E1565" w:rsidP="00D8580F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CE92ABF" w14:textId="009C76B4" w:rsidR="002E1565" w:rsidRPr="00D5083B" w:rsidRDefault="009203F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=18</w:t>
            </w:r>
            <w:r w:rsidR="002E1565" w:rsidRPr="00D5083B">
              <w:rPr>
                <w:rFonts w:ascii="Arial" w:hAnsi="Arial" w:cs="Arial"/>
                <w:sz w:val="22"/>
                <w:szCs w:val="22"/>
              </w:rPr>
              <w:t>0/30=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E1565" w:rsidRPr="00FE13AC" w14:paraId="06497AF6" w14:textId="77777777" w:rsidTr="004B313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B0B95F4" w14:textId="616D6FBE" w:rsidR="002E1565" w:rsidRPr="00D5083B" w:rsidRDefault="002E1565" w:rsidP="00D8580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5083B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D5083B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D5083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6848E06" w14:textId="65A50E60" w:rsidR="002E1565" w:rsidRPr="00D5083B" w:rsidRDefault="009203F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29B80FCD" w14:textId="77777777" w:rsidR="003237AD" w:rsidRPr="00FE13AC" w:rsidRDefault="003237AD">
      <w:pPr>
        <w:rPr>
          <w:rFonts w:ascii="Arial" w:hAnsi="Arial" w:cs="Arial"/>
          <w:sz w:val="22"/>
          <w:szCs w:val="22"/>
        </w:rPr>
      </w:pPr>
      <w:r w:rsidRPr="00FE13AC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FE13AC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12E4FFA1" w:rsidR="003237AD" w:rsidRPr="00FE13AC" w:rsidRDefault="004E3FDC" w:rsidP="004D4198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Past</w:t>
            </w:r>
            <w:proofErr w:type="spellEnd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Term</w:t>
            </w:r>
            <w:proofErr w:type="spellEnd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78FB71D" w:rsidR="003237AD" w:rsidRPr="003237AD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3F70B7CA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5DDBE99D" w:rsidR="003237AD" w:rsidRPr="003237AD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706F7FB9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42E5333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589E18E8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2B798" w14:textId="77777777" w:rsidR="00615E8A" w:rsidRDefault="00615E8A" w:rsidP="0034027E">
      <w:r>
        <w:separator/>
      </w:r>
    </w:p>
  </w:endnote>
  <w:endnote w:type="continuationSeparator" w:id="0">
    <w:p w14:paraId="7CF54FBE" w14:textId="77777777" w:rsidR="00615E8A" w:rsidRDefault="00615E8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64CD6" w14:textId="77777777" w:rsidR="00615E8A" w:rsidRDefault="00615E8A" w:rsidP="0034027E">
      <w:r>
        <w:separator/>
      </w:r>
    </w:p>
  </w:footnote>
  <w:footnote w:type="continuationSeparator" w:id="0">
    <w:p w14:paraId="509AE50C" w14:textId="77777777" w:rsidR="00615E8A" w:rsidRDefault="00615E8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82791"/>
    <w:multiLevelType w:val="hybridMultilevel"/>
    <w:tmpl w:val="57885B4E"/>
    <w:lvl w:ilvl="0" w:tplc="46442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07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AF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85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C4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CEB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E9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C0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E0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56990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03BE"/>
    <w:rsid w:val="00212A30"/>
    <w:rsid w:val="00230659"/>
    <w:rsid w:val="00233A78"/>
    <w:rsid w:val="002540BC"/>
    <w:rsid w:val="00264E5A"/>
    <w:rsid w:val="0027165B"/>
    <w:rsid w:val="002B4AEF"/>
    <w:rsid w:val="002B7787"/>
    <w:rsid w:val="002C39FE"/>
    <w:rsid w:val="002D29FC"/>
    <w:rsid w:val="002E1565"/>
    <w:rsid w:val="002E660C"/>
    <w:rsid w:val="002F037D"/>
    <w:rsid w:val="002F7CC4"/>
    <w:rsid w:val="003050BD"/>
    <w:rsid w:val="00306F03"/>
    <w:rsid w:val="00310B3D"/>
    <w:rsid w:val="00314B04"/>
    <w:rsid w:val="0031763C"/>
    <w:rsid w:val="00321712"/>
    <w:rsid w:val="003237AD"/>
    <w:rsid w:val="003311C4"/>
    <w:rsid w:val="00332E3E"/>
    <w:rsid w:val="003360EF"/>
    <w:rsid w:val="0034027E"/>
    <w:rsid w:val="00344B88"/>
    <w:rsid w:val="00345DF1"/>
    <w:rsid w:val="003537D4"/>
    <w:rsid w:val="003635E6"/>
    <w:rsid w:val="00366E3B"/>
    <w:rsid w:val="00373163"/>
    <w:rsid w:val="003808B6"/>
    <w:rsid w:val="00386348"/>
    <w:rsid w:val="003923D0"/>
    <w:rsid w:val="003A0CE5"/>
    <w:rsid w:val="003A237E"/>
    <w:rsid w:val="003A4CE2"/>
    <w:rsid w:val="003C2122"/>
    <w:rsid w:val="003D12CE"/>
    <w:rsid w:val="003D4ACA"/>
    <w:rsid w:val="003E396C"/>
    <w:rsid w:val="0042441A"/>
    <w:rsid w:val="004347B1"/>
    <w:rsid w:val="00454B3C"/>
    <w:rsid w:val="00454F80"/>
    <w:rsid w:val="00463A5A"/>
    <w:rsid w:val="00466279"/>
    <w:rsid w:val="00471A47"/>
    <w:rsid w:val="00474110"/>
    <w:rsid w:val="00474423"/>
    <w:rsid w:val="00482527"/>
    <w:rsid w:val="004904EB"/>
    <w:rsid w:val="00496407"/>
    <w:rsid w:val="004A19BE"/>
    <w:rsid w:val="004A2B8C"/>
    <w:rsid w:val="004A7E15"/>
    <w:rsid w:val="004B1C13"/>
    <w:rsid w:val="004B4309"/>
    <w:rsid w:val="004D4198"/>
    <w:rsid w:val="004E15BB"/>
    <w:rsid w:val="004E3FDC"/>
    <w:rsid w:val="005215FA"/>
    <w:rsid w:val="005221D8"/>
    <w:rsid w:val="0054597B"/>
    <w:rsid w:val="005546F5"/>
    <w:rsid w:val="005726A0"/>
    <w:rsid w:val="00580094"/>
    <w:rsid w:val="005920FF"/>
    <w:rsid w:val="005A2B8A"/>
    <w:rsid w:val="005B1DA8"/>
    <w:rsid w:val="005B2B0A"/>
    <w:rsid w:val="005C15A7"/>
    <w:rsid w:val="005F70D3"/>
    <w:rsid w:val="00600586"/>
    <w:rsid w:val="00601BED"/>
    <w:rsid w:val="00605F11"/>
    <w:rsid w:val="00612FE4"/>
    <w:rsid w:val="00615E8A"/>
    <w:rsid w:val="00621099"/>
    <w:rsid w:val="00623667"/>
    <w:rsid w:val="006241B7"/>
    <w:rsid w:val="00635121"/>
    <w:rsid w:val="00636DEF"/>
    <w:rsid w:val="00642ED5"/>
    <w:rsid w:val="006729ED"/>
    <w:rsid w:val="00681162"/>
    <w:rsid w:val="006A2DEE"/>
    <w:rsid w:val="006A6D82"/>
    <w:rsid w:val="006B1556"/>
    <w:rsid w:val="006B5CBA"/>
    <w:rsid w:val="007062CB"/>
    <w:rsid w:val="007152C2"/>
    <w:rsid w:val="00727DB3"/>
    <w:rsid w:val="007348AB"/>
    <w:rsid w:val="00735EC2"/>
    <w:rsid w:val="00745E6E"/>
    <w:rsid w:val="00747E10"/>
    <w:rsid w:val="007625C6"/>
    <w:rsid w:val="00763049"/>
    <w:rsid w:val="00770615"/>
    <w:rsid w:val="00770795"/>
    <w:rsid w:val="007C799D"/>
    <w:rsid w:val="007D0DA2"/>
    <w:rsid w:val="007D162B"/>
    <w:rsid w:val="007F04A8"/>
    <w:rsid w:val="00800E21"/>
    <w:rsid w:val="00807259"/>
    <w:rsid w:val="0082068F"/>
    <w:rsid w:val="0082236E"/>
    <w:rsid w:val="00822CB7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436B"/>
    <w:rsid w:val="00886770"/>
    <w:rsid w:val="00895E2A"/>
    <w:rsid w:val="008A022E"/>
    <w:rsid w:val="008D4F25"/>
    <w:rsid w:val="00904008"/>
    <w:rsid w:val="00905CD0"/>
    <w:rsid w:val="00911FE6"/>
    <w:rsid w:val="00916141"/>
    <w:rsid w:val="009203F0"/>
    <w:rsid w:val="00927AF3"/>
    <w:rsid w:val="00933B97"/>
    <w:rsid w:val="00947DBA"/>
    <w:rsid w:val="0095080C"/>
    <w:rsid w:val="00964CAF"/>
    <w:rsid w:val="00973A60"/>
    <w:rsid w:val="00985E0F"/>
    <w:rsid w:val="00997C36"/>
    <w:rsid w:val="009C5DE7"/>
    <w:rsid w:val="009D0D63"/>
    <w:rsid w:val="009E445E"/>
    <w:rsid w:val="00A33F69"/>
    <w:rsid w:val="00A3554C"/>
    <w:rsid w:val="00A566C4"/>
    <w:rsid w:val="00A711BC"/>
    <w:rsid w:val="00A7625D"/>
    <w:rsid w:val="00A8032C"/>
    <w:rsid w:val="00A8173B"/>
    <w:rsid w:val="00AE565A"/>
    <w:rsid w:val="00B03B19"/>
    <w:rsid w:val="00B06EC6"/>
    <w:rsid w:val="00B41C3E"/>
    <w:rsid w:val="00B536A9"/>
    <w:rsid w:val="00B62E90"/>
    <w:rsid w:val="00B65C62"/>
    <w:rsid w:val="00B74181"/>
    <w:rsid w:val="00B80DAF"/>
    <w:rsid w:val="00B96430"/>
    <w:rsid w:val="00BA1059"/>
    <w:rsid w:val="00BA2B7C"/>
    <w:rsid w:val="00BA7131"/>
    <w:rsid w:val="00BB378F"/>
    <w:rsid w:val="00BB42DE"/>
    <w:rsid w:val="00BB49BA"/>
    <w:rsid w:val="00BD4C80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480"/>
    <w:rsid w:val="00C72C6D"/>
    <w:rsid w:val="00C7388D"/>
    <w:rsid w:val="00C76FE5"/>
    <w:rsid w:val="00CA168A"/>
    <w:rsid w:val="00CA4CC6"/>
    <w:rsid w:val="00CA55B4"/>
    <w:rsid w:val="00CB43FF"/>
    <w:rsid w:val="00CB4F20"/>
    <w:rsid w:val="00CC1866"/>
    <w:rsid w:val="00CD69CD"/>
    <w:rsid w:val="00CE0683"/>
    <w:rsid w:val="00CE2529"/>
    <w:rsid w:val="00D02BE1"/>
    <w:rsid w:val="00D15B1F"/>
    <w:rsid w:val="00D24AE5"/>
    <w:rsid w:val="00D379D7"/>
    <w:rsid w:val="00D41B6B"/>
    <w:rsid w:val="00D5083B"/>
    <w:rsid w:val="00D86D4D"/>
    <w:rsid w:val="00DA3803"/>
    <w:rsid w:val="00DB0AEA"/>
    <w:rsid w:val="00DB6BD3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8255E"/>
    <w:rsid w:val="00E87994"/>
    <w:rsid w:val="00E9623B"/>
    <w:rsid w:val="00E971D4"/>
    <w:rsid w:val="00EA2406"/>
    <w:rsid w:val="00EA6A9B"/>
    <w:rsid w:val="00EB1678"/>
    <w:rsid w:val="00EC693D"/>
    <w:rsid w:val="00ED3D23"/>
    <w:rsid w:val="00ED5384"/>
    <w:rsid w:val="00EF0639"/>
    <w:rsid w:val="00EF0908"/>
    <w:rsid w:val="00F04A29"/>
    <w:rsid w:val="00F107BF"/>
    <w:rsid w:val="00F2363D"/>
    <w:rsid w:val="00F37710"/>
    <w:rsid w:val="00F43268"/>
    <w:rsid w:val="00F44952"/>
    <w:rsid w:val="00F54AB1"/>
    <w:rsid w:val="00F818C3"/>
    <w:rsid w:val="00F91795"/>
    <w:rsid w:val="00F96934"/>
    <w:rsid w:val="00FA2A04"/>
    <w:rsid w:val="00FB3417"/>
    <w:rsid w:val="00FC1CD9"/>
    <w:rsid w:val="00FC6B48"/>
    <w:rsid w:val="00F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styleId="Gl">
    <w:name w:val="Strong"/>
    <w:basedOn w:val="VarsaylanParagrafYazTipi"/>
    <w:uiPriority w:val="22"/>
    <w:qFormat/>
    <w:rsid w:val="007D0D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styleId="Gl">
    <w:name w:val="Strong"/>
    <w:basedOn w:val="VarsaylanParagrafYazTipi"/>
    <w:uiPriority w:val="22"/>
    <w:qFormat/>
    <w:rsid w:val="007D0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pl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0371-305F-4FAF-BCAC-9CCFB268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Aysegul KURTULGAN</cp:lastModifiedBy>
  <cp:revision>2</cp:revision>
  <dcterms:created xsi:type="dcterms:W3CDTF">2026-02-22T09:43:00Z</dcterms:created>
  <dcterms:modified xsi:type="dcterms:W3CDTF">2026-02-22T09:43:00Z</dcterms:modified>
</cp:coreProperties>
</file>