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0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"/>
        <w:gridCol w:w="292"/>
        <w:gridCol w:w="668"/>
        <w:gridCol w:w="136"/>
        <w:gridCol w:w="1116"/>
        <w:gridCol w:w="1192"/>
        <w:gridCol w:w="438"/>
        <w:gridCol w:w="1263"/>
        <w:gridCol w:w="462"/>
        <w:gridCol w:w="723"/>
        <w:gridCol w:w="516"/>
        <w:gridCol w:w="709"/>
        <w:gridCol w:w="127"/>
        <w:gridCol w:w="489"/>
        <w:gridCol w:w="376"/>
        <w:gridCol w:w="621"/>
        <w:gridCol w:w="1223"/>
      </w:tblGrid>
      <w:tr w:rsidR="00A77ADC" w:rsidTr="004253C6">
        <w:trPr>
          <w:trHeight w:val="540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ÇAĞ UNIVERSITY</w:t>
            </w:r>
          </w:p>
          <w:p w:rsidR="00A77ADC" w:rsidRDefault="00A77ADC" w:rsidP="004253C6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INSTITUTE of SOCIAL SCIENCES</w:t>
            </w:r>
          </w:p>
        </w:tc>
      </w:tr>
      <w:tr w:rsidR="00A77ADC" w:rsidTr="004253C6">
        <w:trPr>
          <w:trHeight w:val="221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ECTS</w:t>
            </w:r>
          </w:p>
        </w:tc>
      </w:tr>
      <w:tr w:rsidR="00A77ADC" w:rsidTr="004253C6">
        <w:trPr>
          <w:trHeight w:val="221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DE0B32" w:rsidP="004253C6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MAN</w:t>
            </w:r>
            <w:r w:rsidR="004E58A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636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B16775" w:rsidP="004253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Economic Theories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3-0-3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4E58AB" w:rsidP="004253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A77ADC" w:rsidTr="004253C6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Prerequest</w:t>
            </w:r>
            <w:proofErr w:type="spellEnd"/>
          </w:p>
        </w:tc>
        <w:tc>
          <w:tcPr>
            <w:tcW w:w="8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Pr="00B84C09" w:rsidRDefault="00A77ADC" w:rsidP="004253C6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84C09">
              <w:rPr>
                <w:rFonts w:ascii="Arial" w:hAnsi="Arial" w:cs="Arial"/>
                <w:bCs/>
                <w:sz w:val="20"/>
                <w:szCs w:val="20"/>
                <w:lang w:val="en-US"/>
              </w:rPr>
              <w:t>None</w:t>
            </w:r>
          </w:p>
        </w:tc>
      </w:tr>
      <w:tr w:rsidR="00A77ADC" w:rsidTr="004253C6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Turkish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Pr="00B84C09" w:rsidRDefault="00A77ADC" w:rsidP="004253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4C09">
              <w:rPr>
                <w:rStyle w:val="girinti"/>
                <w:rFonts w:ascii="Arial" w:hAnsi="Arial" w:cs="Arial"/>
                <w:bCs/>
                <w:sz w:val="20"/>
                <w:szCs w:val="20"/>
                <w:lang w:val="en-US"/>
              </w:rPr>
              <w:t xml:space="preserve">In class, lecture and class discussion </w:t>
            </w:r>
            <w:r>
              <w:rPr>
                <w:rStyle w:val="girinti"/>
                <w:rFonts w:ascii="Arial" w:hAnsi="Arial" w:cs="Arial"/>
                <w:bCs/>
                <w:sz w:val="20"/>
                <w:szCs w:val="20"/>
                <w:lang w:val="en-US"/>
              </w:rPr>
              <w:t>(or on line)</w:t>
            </w: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A77ADC" w:rsidP="004253C6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77ADC" w:rsidTr="004253C6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Level</w:t>
            </w:r>
          </w:p>
        </w:tc>
        <w:tc>
          <w:tcPr>
            <w:tcW w:w="8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Graduate</w:t>
            </w:r>
            <w:r w:rsidR="004E58AB">
              <w:rPr>
                <w:rFonts w:ascii="Arial" w:hAnsi="Arial" w:cs="Arial"/>
                <w:bCs/>
                <w:sz w:val="20"/>
                <w:szCs w:val="20"/>
                <w:lang w:val="en-US"/>
              </w:rPr>
              <w:t>, Ph.D.</w:t>
            </w:r>
          </w:p>
        </w:tc>
      </w:tr>
      <w:tr w:rsidR="00A77ADC" w:rsidTr="004253C6">
        <w:trPr>
          <w:trHeight w:val="345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Lecturer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Office Hours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e-mail</w:t>
            </w:r>
          </w:p>
        </w:tc>
      </w:tr>
      <w:tr w:rsidR="00A77ADC" w:rsidTr="004253C6">
        <w:trPr>
          <w:trHeight w:val="221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Prof. Dr. Mahir FİSUNOĞLU</w:t>
            </w:r>
          </w:p>
          <w:p w:rsidR="00A77ADC" w:rsidRDefault="00A77ADC" w:rsidP="004253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-Room: B-58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A77ADC" w:rsidRDefault="00A77ADC" w:rsidP="004253C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A77ADC" w:rsidRDefault="00A77ADC" w:rsidP="004253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be announced and by appointment</w:t>
            </w:r>
          </w:p>
          <w:p w:rsidR="00A77ADC" w:rsidRDefault="00A77ADC" w:rsidP="004253C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9466E5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hyperlink r:id="rId5" w:history="1">
              <w:r w:rsidR="00A77ADC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mahirfisunoglu@cag.edu.tr</w:t>
              </w:r>
            </w:hyperlink>
          </w:p>
        </w:tc>
      </w:tr>
      <w:tr w:rsidR="00A77ADC" w:rsidTr="004253C6">
        <w:trPr>
          <w:trHeight w:val="442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A77ADC" w:rsidRDefault="00A77ADC" w:rsidP="004253C6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Aim of the Course</w:t>
            </w:r>
          </w:p>
        </w:tc>
        <w:tc>
          <w:tcPr>
            <w:tcW w:w="92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DF2739">
            <w:pPr>
              <w:jc w:val="both"/>
              <w:rPr>
                <w:sz w:val="22"/>
              </w:rPr>
            </w:pPr>
            <w:proofErr w:type="spellStart"/>
            <w:r w:rsidRPr="00A77ADC">
              <w:rPr>
                <w:sz w:val="22"/>
              </w:rPr>
              <w:t>This</w:t>
            </w:r>
            <w:proofErr w:type="spellEnd"/>
            <w:r w:rsidRPr="00A77ADC">
              <w:rPr>
                <w:sz w:val="22"/>
              </w:rPr>
              <w:t xml:space="preserve"> </w:t>
            </w:r>
            <w:proofErr w:type="spellStart"/>
            <w:r w:rsidRPr="00A77ADC">
              <w:rPr>
                <w:sz w:val="22"/>
              </w:rPr>
              <w:t>course</w:t>
            </w:r>
            <w:proofErr w:type="spellEnd"/>
            <w:r w:rsidRPr="00A77ADC">
              <w:rPr>
                <w:sz w:val="22"/>
              </w:rPr>
              <w:t xml:space="preserve"> is </w:t>
            </w:r>
            <w:proofErr w:type="spellStart"/>
            <w:r w:rsidRPr="00A77ADC">
              <w:rPr>
                <w:sz w:val="22"/>
              </w:rPr>
              <w:t>designed</w:t>
            </w:r>
            <w:proofErr w:type="spellEnd"/>
            <w:r w:rsidRPr="00A77ADC">
              <w:rPr>
                <w:sz w:val="22"/>
              </w:rPr>
              <w:t xml:space="preserve"> </w:t>
            </w:r>
            <w:proofErr w:type="spellStart"/>
            <w:r w:rsidRPr="00A77ADC">
              <w:rPr>
                <w:sz w:val="22"/>
              </w:rPr>
              <w:t>for</w:t>
            </w:r>
            <w:proofErr w:type="spellEnd"/>
            <w:r w:rsidRPr="00A77ADC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Ph.D</w:t>
            </w:r>
            <w:proofErr w:type="spellEnd"/>
            <w:r w:rsidR="00675B79">
              <w:rPr>
                <w:sz w:val="22"/>
              </w:rPr>
              <w:t xml:space="preserve">. </w:t>
            </w:r>
            <w:proofErr w:type="spellStart"/>
            <w:r w:rsidR="00675B79">
              <w:rPr>
                <w:sz w:val="22"/>
              </w:rPr>
              <w:t>students</w:t>
            </w:r>
            <w:proofErr w:type="spellEnd"/>
            <w:r w:rsidR="00A332AB">
              <w:rPr>
                <w:sz w:val="22"/>
              </w:rPr>
              <w:t xml:space="preserve"> </w:t>
            </w:r>
            <w:proofErr w:type="spellStart"/>
            <w:r w:rsidR="00A332AB">
              <w:rPr>
                <w:sz w:val="22"/>
              </w:rPr>
              <w:t>who</w:t>
            </w:r>
            <w:proofErr w:type="spellEnd"/>
            <w:r w:rsidR="00A332AB">
              <w:rPr>
                <w:sz w:val="22"/>
              </w:rPr>
              <w:t xml:space="preserve"> </w:t>
            </w:r>
            <w:proofErr w:type="spellStart"/>
            <w:r w:rsidR="00A332AB">
              <w:rPr>
                <w:sz w:val="22"/>
              </w:rPr>
              <w:t>would</w:t>
            </w:r>
            <w:proofErr w:type="spellEnd"/>
            <w:r w:rsidR="00A332AB">
              <w:rPr>
                <w:sz w:val="22"/>
              </w:rPr>
              <w:t xml:space="preserve"> </w:t>
            </w:r>
            <w:proofErr w:type="spellStart"/>
            <w:r w:rsidR="00A332AB">
              <w:rPr>
                <w:sz w:val="22"/>
              </w:rPr>
              <w:t>like</w:t>
            </w:r>
            <w:proofErr w:type="spellEnd"/>
            <w:r w:rsidR="00A332AB">
              <w:rPr>
                <w:sz w:val="22"/>
              </w:rPr>
              <w:t xml:space="preserve"> </w:t>
            </w:r>
            <w:proofErr w:type="spellStart"/>
            <w:r w:rsidR="00A332AB">
              <w:rPr>
                <w:sz w:val="22"/>
              </w:rPr>
              <w:t>to</w:t>
            </w:r>
            <w:proofErr w:type="spellEnd"/>
            <w:r w:rsidR="00A332AB">
              <w:rPr>
                <w:sz w:val="22"/>
              </w:rPr>
              <w:t xml:space="preserve"> </w:t>
            </w:r>
            <w:r w:rsidR="00675B79">
              <w:rPr>
                <w:sz w:val="22"/>
              </w:rPr>
              <w:t xml:space="preserve">o </w:t>
            </w:r>
            <w:proofErr w:type="spellStart"/>
            <w:r w:rsidR="00675B79">
              <w:rPr>
                <w:sz w:val="22"/>
              </w:rPr>
              <w:t>understand</w:t>
            </w:r>
            <w:proofErr w:type="spellEnd"/>
            <w:r w:rsidR="00675B79">
              <w:rPr>
                <w:sz w:val="22"/>
              </w:rPr>
              <w:t xml:space="preserve"> how </w:t>
            </w:r>
            <w:proofErr w:type="spellStart"/>
            <w:r w:rsidR="00675B79">
              <w:rPr>
                <w:sz w:val="22"/>
              </w:rPr>
              <w:t>economic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theories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work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and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that</w:t>
            </w:r>
            <w:proofErr w:type="spellEnd"/>
            <w:r w:rsidR="00675B79">
              <w:rPr>
                <w:sz w:val="22"/>
              </w:rPr>
              <w:t xml:space="preserve"> how </w:t>
            </w:r>
            <w:proofErr w:type="spellStart"/>
            <w:r w:rsidR="00675B79">
              <w:rPr>
                <w:sz w:val="22"/>
              </w:rPr>
              <w:t>theories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would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gramStart"/>
            <w:r w:rsidR="00675B79">
              <w:rPr>
                <w:sz w:val="22"/>
              </w:rPr>
              <w:t xml:space="preserve">be  </w:t>
            </w:r>
            <w:proofErr w:type="spellStart"/>
            <w:r w:rsidR="00675B79">
              <w:rPr>
                <w:sz w:val="22"/>
              </w:rPr>
              <w:t>employed</w:t>
            </w:r>
            <w:proofErr w:type="spellEnd"/>
            <w:proofErr w:type="gram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for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Pr="00A77ADC">
              <w:rPr>
                <w:sz w:val="22"/>
              </w:rPr>
              <w:t>understanding</w:t>
            </w:r>
            <w:proofErr w:type="spellEnd"/>
            <w:r w:rsidRPr="00A77ADC">
              <w:rPr>
                <w:sz w:val="22"/>
              </w:rPr>
              <w:t xml:space="preserve"> </w:t>
            </w:r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the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real</w:t>
            </w:r>
            <w:proofErr w:type="spellEnd"/>
            <w:r w:rsidR="00675B79">
              <w:rPr>
                <w:sz w:val="22"/>
              </w:rPr>
              <w:t xml:space="preserve"> life. </w:t>
            </w:r>
            <w:r w:rsidR="00D12E3E">
              <w:rPr>
                <w:sz w:val="22"/>
              </w:rPr>
              <w:t xml:space="preserve"> </w:t>
            </w:r>
            <w:proofErr w:type="spellStart"/>
            <w:r w:rsidR="00D12E3E">
              <w:rPr>
                <w:sz w:val="22"/>
              </w:rPr>
              <w:t>This</w:t>
            </w:r>
            <w:proofErr w:type="spellEnd"/>
            <w:r w:rsidR="00D12E3E">
              <w:rPr>
                <w:sz w:val="22"/>
              </w:rPr>
              <w:t xml:space="preserve"> </w:t>
            </w:r>
            <w:proofErr w:type="spellStart"/>
            <w:r w:rsidR="00D12E3E">
              <w:rPr>
                <w:sz w:val="22"/>
              </w:rPr>
              <w:t>course</w:t>
            </w:r>
            <w:proofErr w:type="spellEnd"/>
            <w:r w:rsidR="00D12E3E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begins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proofErr w:type="gramStart"/>
            <w:r w:rsidR="00CA4829">
              <w:rPr>
                <w:sz w:val="22"/>
              </w:rPr>
              <w:t>with</w:t>
            </w:r>
            <w:proofErr w:type="spellEnd"/>
            <w:r w:rsidR="00D12E3E">
              <w:rPr>
                <w:sz w:val="22"/>
              </w:rPr>
              <w:t xml:space="preserve">  </w:t>
            </w:r>
            <w:proofErr w:type="spellStart"/>
            <w:r w:rsidR="00D12E3E">
              <w:rPr>
                <w:sz w:val="22"/>
              </w:rPr>
              <w:t>macroeconomics</w:t>
            </w:r>
            <w:proofErr w:type="spellEnd"/>
            <w:proofErr w:type="gramEnd"/>
            <w:r w:rsidR="00D12E3E">
              <w:rPr>
                <w:sz w:val="22"/>
              </w:rPr>
              <w:t xml:space="preserve">. </w:t>
            </w:r>
            <w:proofErr w:type="spellStart"/>
            <w:r w:rsidR="00CA4829">
              <w:rPr>
                <w:sz w:val="22"/>
              </w:rPr>
              <w:t>It</w:t>
            </w:r>
            <w:proofErr w:type="spellEnd"/>
            <w:r w:rsidR="00CA4829">
              <w:rPr>
                <w:sz w:val="22"/>
              </w:rPr>
              <w:t xml:space="preserve"> is </w:t>
            </w:r>
            <w:proofErr w:type="spellStart"/>
            <w:r w:rsidR="00CA4829">
              <w:rPr>
                <w:sz w:val="22"/>
              </w:rPr>
              <w:t>expected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that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students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will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have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the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basics</w:t>
            </w:r>
            <w:proofErr w:type="spellEnd"/>
            <w:r w:rsidR="00CA4829">
              <w:rPr>
                <w:sz w:val="22"/>
              </w:rPr>
              <w:t xml:space="preserve"> of </w:t>
            </w:r>
            <w:proofErr w:type="spellStart"/>
            <w:r w:rsidR="00CA4829">
              <w:rPr>
                <w:sz w:val="22"/>
              </w:rPr>
              <w:t>macroeconomics</w:t>
            </w:r>
            <w:proofErr w:type="spellEnd"/>
            <w:r w:rsidR="00CA4829">
              <w:rPr>
                <w:sz w:val="22"/>
              </w:rPr>
              <w:t xml:space="preserve">. </w:t>
            </w:r>
            <w:proofErr w:type="spellStart"/>
            <w:r w:rsidR="00CA4829">
              <w:rPr>
                <w:sz w:val="22"/>
              </w:rPr>
              <w:t>Then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we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continue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with</w:t>
            </w:r>
            <w:proofErr w:type="spellEnd"/>
            <w:r w:rsidR="00CA4829">
              <w:rPr>
                <w:sz w:val="22"/>
              </w:rPr>
              <w:t xml:space="preserve"> </w:t>
            </w:r>
            <w:proofErr w:type="spellStart"/>
            <w:r w:rsidR="00CA4829">
              <w:rPr>
                <w:sz w:val="22"/>
              </w:rPr>
              <w:t>microeconomics</w:t>
            </w:r>
            <w:proofErr w:type="spellEnd"/>
            <w:r w:rsidR="00CA4829">
              <w:rPr>
                <w:sz w:val="22"/>
              </w:rPr>
              <w:t xml:space="preserve">. </w:t>
            </w:r>
            <w:proofErr w:type="spellStart"/>
            <w:proofErr w:type="gramStart"/>
            <w:r w:rsidR="00CA4829">
              <w:rPr>
                <w:sz w:val="22"/>
              </w:rPr>
              <w:t>It</w:t>
            </w:r>
            <w:proofErr w:type="spellEnd"/>
            <w:r w:rsidR="00CA4829">
              <w:rPr>
                <w:sz w:val="22"/>
              </w:rPr>
              <w:t xml:space="preserve"> </w:t>
            </w:r>
            <w:r w:rsidR="00675B79">
              <w:rPr>
                <w:sz w:val="22"/>
              </w:rPr>
              <w:t xml:space="preserve"> is</w:t>
            </w:r>
            <w:proofErr w:type="gram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assumed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that</w:t>
            </w:r>
            <w:proofErr w:type="spellEnd"/>
            <w:r w:rsidR="00675B79">
              <w:rPr>
                <w:sz w:val="22"/>
              </w:rPr>
              <w:t xml:space="preserve"> a </w:t>
            </w:r>
            <w:proofErr w:type="spellStart"/>
            <w:r w:rsidR="00675B79">
              <w:rPr>
                <w:sz w:val="22"/>
              </w:rPr>
              <w:t>Ph.D</w:t>
            </w:r>
            <w:proofErr w:type="spellEnd"/>
            <w:r w:rsidR="00675B79">
              <w:rPr>
                <w:sz w:val="22"/>
              </w:rPr>
              <w:t xml:space="preserve">. </w:t>
            </w:r>
            <w:proofErr w:type="spellStart"/>
            <w:r w:rsidR="00675B79">
              <w:rPr>
                <w:sz w:val="22"/>
              </w:rPr>
              <w:t>graduate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may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employed</w:t>
            </w:r>
            <w:proofErr w:type="spellEnd"/>
            <w:r w:rsidR="00675B79">
              <w:rPr>
                <w:sz w:val="22"/>
              </w:rPr>
              <w:t xml:space="preserve"> in </w:t>
            </w:r>
            <w:proofErr w:type="spellStart"/>
            <w:r w:rsidR="00675B79">
              <w:rPr>
                <w:sz w:val="22"/>
              </w:rPr>
              <w:t>academia</w:t>
            </w:r>
            <w:proofErr w:type="spellEnd"/>
            <w:r w:rsidR="00675B79">
              <w:rPr>
                <w:sz w:val="22"/>
              </w:rPr>
              <w:t xml:space="preserve">, </w:t>
            </w:r>
            <w:proofErr w:type="spellStart"/>
            <w:r w:rsidR="00675B79">
              <w:rPr>
                <w:sz w:val="22"/>
              </w:rPr>
              <w:t>private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or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public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sector</w:t>
            </w:r>
            <w:proofErr w:type="spellEnd"/>
            <w:r w:rsidR="00675B79">
              <w:rPr>
                <w:sz w:val="22"/>
              </w:rPr>
              <w:t xml:space="preserve"> as  </w:t>
            </w:r>
            <w:proofErr w:type="spellStart"/>
            <w:r w:rsidR="00675B79">
              <w:rPr>
                <w:sz w:val="22"/>
              </w:rPr>
              <w:t>well</w:t>
            </w:r>
            <w:proofErr w:type="spellEnd"/>
            <w:r w:rsidR="00675B79">
              <w:rPr>
                <w:sz w:val="22"/>
              </w:rPr>
              <w:t xml:space="preserve"> as s/he </w:t>
            </w:r>
            <w:proofErr w:type="spellStart"/>
            <w:r w:rsidR="00675B79">
              <w:rPr>
                <w:sz w:val="22"/>
              </w:rPr>
              <w:t>may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have</w:t>
            </w:r>
            <w:proofErr w:type="spellEnd"/>
            <w:r w:rsidR="00675B79">
              <w:rPr>
                <w:sz w:val="22"/>
              </w:rPr>
              <w:t xml:space="preserve"> his/her </w:t>
            </w:r>
            <w:proofErr w:type="spellStart"/>
            <w:r w:rsidR="00675B79">
              <w:rPr>
                <w:sz w:val="22"/>
              </w:rPr>
              <w:t>own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business</w:t>
            </w:r>
            <w:proofErr w:type="spellEnd"/>
            <w:r w:rsidR="00675B79">
              <w:rPr>
                <w:sz w:val="22"/>
              </w:rPr>
              <w:t xml:space="preserve">. </w:t>
            </w:r>
            <w:proofErr w:type="spellStart"/>
            <w:r w:rsidR="00675B79">
              <w:rPr>
                <w:sz w:val="22"/>
              </w:rPr>
              <w:t>Academia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or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business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demands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graduates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who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have</w:t>
            </w:r>
            <w:proofErr w:type="spellEnd"/>
            <w:r w:rsidR="00675B79">
              <w:rPr>
                <w:sz w:val="22"/>
              </w:rPr>
              <w:t xml:space="preserve"> a </w:t>
            </w:r>
            <w:proofErr w:type="spellStart"/>
            <w:r w:rsidR="00675B79">
              <w:rPr>
                <w:sz w:val="22"/>
              </w:rPr>
              <w:t>deep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understanding</w:t>
            </w:r>
            <w:proofErr w:type="spellEnd"/>
            <w:r w:rsidR="00675B79">
              <w:rPr>
                <w:sz w:val="22"/>
              </w:rPr>
              <w:t xml:space="preserve"> in </w:t>
            </w:r>
            <w:proofErr w:type="spellStart"/>
            <w:r w:rsidR="00675B79">
              <w:rPr>
                <w:sz w:val="22"/>
              </w:rPr>
              <w:t>economic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theory</w:t>
            </w:r>
            <w:proofErr w:type="spellEnd"/>
            <w:r w:rsidR="00675B79">
              <w:rPr>
                <w:sz w:val="22"/>
              </w:rPr>
              <w:t xml:space="preserve">. </w:t>
            </w:r>
            <w:proofErr w:type="spellStart"/>
            <w:r w:rsidR="00675B79">
              <w:rPr>
                <w:sz w:val="22"/>
              </w:rPr>
              <w:t>This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course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will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serve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for</w:t>
            </w:r>
            <w:proofErr w:type="spellEnd"/>
            <w:r w:rsidR="00D12E3E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this</w:t>
            </w:r>
            <w:proofErr w:type="spellEnd"/>
            <w:r w:rsidR="00675B79">
              <w:rPr>
                <w:sz w:val="22"/>
              </w:rPr>
              <w:t xml:space="preserve"> </w:t>
            </w:r>
            <w:proofErr w:type="spellStart"/>
            <w:r w:rsidR="00675B79">
              <w:rPr>
                <w:sz w:val="22"/>
              </w:rPr>
              <w:t>purpose</w:t>
            </w:r>
            <w:proofErr w:type="spellEnd"/>
            <w:r w:rsidR="00675B79">
              <w:rPr>
                <w:sz w:val="22"/>
              </w:rPr>
              <w:t>.</w:t>
            </w:r>
            <w:r>
              <w:rPr>
                <w:sz w:val="22"/>
              </w:rPr>
              <w:t xml:space="preserve">  </w:t>
            </w:r>
          </w:p>
        </w:tc>
      </w:tr>
      <w:tr w:rsidR="00A77ADC" w:rsidTr="004253C6">
        <w:trPr>
          <w:trHeight w:val="221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7ADC" w:rsidRDefault="00A77ADC" w:rsidP="004253C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DC" w:rsidRDefault="0087273D" w:rsidP="004253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Having completed this course, it is expected that </w:t>
            </w:r>
            <w:r w:rsidR="009E0500">
              <w:rPr>
                <w:sz w:val="20"/>
                <w:szCs w:val="20"/>
                <w:lang w:val="en-US"/>
              </w:rPr>
              <w:t xml:space="preserve">a Ph.D. </w:t>
            </w:r>
            <w:r>
              <w:rPr>
                <w:sz w:val="20"/>
                <w:szCs w:val="20"/>
                <w:lang w:val="en-US"/>
              </w:rPr>
              <w:t xml:space="preserve"> students will have a broad understanding of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Relations</w:t>
            </w:r>
          </w:p>
        </w:tc>
      </w:tr>
      <w:tr w:rsidR="00A77ADC" w:rsidTr="004253C6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Prog. Outputs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Net Effect</w:t>
            </w:r>
          </w:p>
        </w:tc>
      </w:tr>
      <w:tr w:rsidR="00A77ADC" w:rsidTr="004253C6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755788" w:rsidP="004253C6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Macroeconomics</w:t>
            </w:r>
            <w:proofErr w:type="spellEnd"/>
            <w:r>
              <w:rPr>
                <w:sz w:val="22"/>
              </w:rPr>
              <w:t xml:space="preserve"> as </w:t>
            </w:r>
            <w:proofErr w:type="spellStart"/>
            <w:r>
              <w:rPr>
                <w:sz w:val="22"/>
              </w:rPr>
              <w:t>th</w:t>
            </w:r>
            <w:r w:rsidR="00CF6719">
              <w:rPr>
                <w:sz w:val="22"/>
              </w:rPr>
              <w:t>e</w:t>
            </w:r>
            <w:proofErr w:type="spellEnd"/>
            <w:r w:rsidR="00CF6719">
              <w:rPr>
                <w:sz w:val="22"/>
              </w:rPr>
              <w:t xml:space="preserve"> </w:t>
            </w:r>
            <w:proofErr w:type="spellStart"/>
            <w:r w:rsidR="00CF6719">
              <w:rPr>
                <w:sz w:val="22"/>
              </w:rPr>
              <w:t>way</w:t>
            </w:r>
            <w:proofErr w:type="spellEnd"/>
            <w:r w:rsidR="00CF6719">
              <w:rPr>
                <w:sz w:val="22"/>
              </w:rPr>
              <w:t xml:space="preserve"> of </w:t>
            </w:r>
            <w:proofErr w:type="spellStart"/>
            <w:r w:rsidR="00CF6719">
              <w:rPr>
                <w:sz w:val="22"/>
              </w:rPr>
              <w:t>decision</w:t>
            </w:r>
            <w:proofErr w:type="spellEnd"/>
            <w:r w:rsidR="00CF6719">
              <w:rPr>
                <w:sz w:val="22"/>
              </w:rPr>
              <w:t xml:space="preserve"> </w:t>
            </w:r>
            <w:proofErr w:type="spellStart"/>
            <w:r w:rsidR="00CF6719">
              <w:rPr>
                <w:sz w:val="22"/>
              </w:rPr>
              <w:t>making</w:t>
            </w:r>
            <w:proofErr w:type="spellEnd"/>
            <w:r w:rsidR="00CF6719">
              <w:rPr>
                <w:sz w:val="22"/>
              </w:rPr>
              <w:t xml:space="preserve"> </w:t>
            </w:r>
            <w:proofErr w:type="spellStart"/>
            <w:r w:rsidR="00CF6719">
              <w:rPr>
                <w:sz w:val="22"/>
              </w:rPr>
              <w:t>process</w:t>
            </w:r>
            <w:proofErr w:type="spellEnd"/>
            <w:r w:rsidR="00CF6719">
              <w:rPr>
                <w:sz w:val="22"/>
              </w:rPr>
              <w:t xml:space="preserve"> in </w:t>
            </w:r>
            <w:proofErr w:type="spellStart"/>
            <w:r w:rsidR="00CF6719">
              <w:rPr>
                <w:sz w:val="22"/>
              </w:rPr>
              <w:t>economics</w:t>
            </w:r>
            <w:proofErr w:type="spellEnd"/>
            <w:r w:rsidR="00CF6719"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A77ADC" w:rsidTr="004253C6">
        <w:trPr>
          <w:trHeight w:val="708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CF6719" w:rsidP="0087273D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m</w:t>
            </w:r>
            <w:r w:rsidR="00CC4222">
              <w:rPr>
                <w:sz w:val="22"/>
              </w:rPr>
              <w:t xml:space="preserve">ain </w:t>
            </w:r>
            <w:proofErr w:type="spellStart"/>
            <w:r w:rsidR="00CC4222">
              <w:rPr>
                <w:sz w:val="22"/>
              </w:rPr>
              <w:t>thought</w:t>
            </w:r>
            <w:proofErr w:type="spellEnd"/>
            <w:r w:rsidR="00CC4222">
              <w:rPr>
                <w:sz w:val="22"/>
              </w:rPr>
              <w:t xml:space="preserve"> of </w:t>
            </w:r>
            <w:proofErr w:type="spellStart"/>
            <w:r w:rsidR="00CC4222">
              <w:rPr>
                <w:sz w:val="22"/>
              </w:rPr>
              <w:t>economics</w:t>
            </w:r>
            <w:proofErr w:type="spellEnd"/>
            <w:r w:rsidR="00CC4222">
              <w:rPr>
                <w:sz w:val="22"/>
              </w:rPr>
              <w:t xml:space="preserve"> </w:t>
            </w:r>
            <w:proofErr w:type="spellStart"/>
            <w:r w:rsidR="00CC4222">
              <w:rPr>
                <w:sz w:val="22"/>
              </w:rPr>
              <w:t>such</w:t>
            </w:r>
            <w:proofErr w:type="spellEnd"/>
            <w:r w:rsidR="00CC4222">
              <w:rPr>
                <w:sz w:val="22"/>
              </w:rPr>
              <w:t xml:space="preserve"> as </w:t>
            </w:r>
            <w:proofErr w:type="spellStart"/>
            <w:r w:rsidR="00CC4222">
              <w:rPr>
                <w:sz w:val="22"/>
              </w:rPr>
              <w:t>Classics</w:t>
            </w:r>
            <w:proofErr w:type="spellEnd"/>
            <w:r w:rsidR="00CC4222">
              <w:rPr>
                <w:sz w:val="22"/>
              </w:rPr>
              <w:t xml:space="preserve">, </w:t>
            </w:r>
            <w:proofErr w:type="spellStart"/>
            <w:r w:rsidR="00CC4222">
              <w:rPr>
                <w:sz w:val="22"/>
              </w:rPr>
              <w:t>Keynesian</w:t>
            </w:r>
            <w:proofErr w:type="spellEnd"/>
            <w:r w:rsidR="00CC4222">
              <w:rPr>
                <w:sz w:val="22"/>
              </w:rPr>
              <w:t xml:space="preserve">, </w:t>
            </w:r>
            <w:proofErr w:type="spellStart"/>
            <w:r w:rsidR="00CC4222">
              <w:rPr>
                <w:sz w:val="22"/>
              </w:rPr>
              <w:t>Monetarists</w:t>
            </w:r>
            <w:proofErr w:type="spellEnd"/>
            <w:r w:rsidR="00CC4222">
              <w:rPr>
                <w:sz w:val="22"/>
              </w:rPr>
              <w:t xml:space="preserve">, </w:t>
            </w:r>
            <w:proofErr w:type="spellStart"/>
            <w:r w:rsidR="00CC4222">
              <w:rPr>
                <w:sz w:val="22"/>
              </w:rPr>
              <w:t>Supply</w:t>
            </w:r>
            <w:proofErr w:type="spellEnd"/>
            <w:r w:rsidR="00CC4222">
              <w:rPr>
                <w:sz w:val="22"/>
              </w:rPr>
              <w:t xml:space="preserve"> Side </w:t>
            </w:r>
            <w:proofErr w:type="spellStart"/>
            <w:r w:rsidR="00CC4222">
              <w:rPr>
                <w:sz w:val="22"/>
              </w:rPr>
              <w:t>Economics</w:t>
            </w:r>
            <w:proofErr w:type="spellEnd"/>
            <w:r w:rsidR="00CC4222">
              <w:rPr>
                <w:sz w:val="22"/>
              </w:rPr>
              <w:t xml:space="preserve">, </w:t>
            </w:r>
            <w:proofErr w:type="spellStart"/>
            <w:r w:rsidR="00CC4222">
              <w:rPr>
                <w:sz w:val="22"/>
              </w:rPr>
              <w:t>Rational</w:t>
            </w:r>
            <w:proofErr w:type="spellEnd"/>
            <w:r w:rsidR="00CC4222">
              <w:rPr>
                <w:sz w:val="22"/>
              </w:rPr>
              <w:t xml:space="preserve"> </w:t>
            </w:r>
            <w:proofErr w:type="spellStart"/>
            <w:r w:rsidR="00CC4222">
              <w:rPr>
                <w:sz w:val="22"/>
              </w:rPr>
              <w:t>Expectations</w:t>
            </w:r>
            <w:proofErr w:type="spellEnd"/>
            <w:r w:rsidR="00CC4222"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A77ADC" w:rsidTr="004253C6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086E60" w:rsidP="004253C6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national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income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accounting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along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with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DB4949">
              <w:rPr>
                <w:sz w:val="22"/>
              </w:rPr>
              <w:t>economic</w:t>
            </w:r>
            <w:proofErr w:type="spellEnd"/>
            <w:r w:rsidR="00DB4949">
              <w:rPr>
                <w:sz w:val="22"/>
              </w:rPr>
              <w:t xml:space="preserve"> </w:t>
            </w:r>
            <w:proofErr w:type="spellStart"/>
            <w:r w:rsidR="00DB4949">
              <w:rPr>
                <w:sz w:val="22"/>
              </w:rPr>
              <w:t>growth</w:t>
            </w:r>
            <w:proofErr w:type="spellEnd"/>
            <w:r w:rsidR="00DB4949">
              <w:rPr>
                <w:sz w:val="22"/>
              </w:rPr>
              <w:t xml:space="preserve"> </w:t>
            </w:r>
            <w:proofErr w:type="spellStart"/>
            <w:r w:rsidR="00DB4949">
              <w:rPr>
                <w:sz w:val="22"/>
              </w:rPr>
              <w:t>and</w:t>
            </w:r>
            <w:proofErr w:type="spellEnd"/>
            <w:r w:rsidR="00DB4949">
              <w:rPr>
                <w:sz w:val="22"/>
              </w:rPr>
              <w:t xml:space="preserve"> </w:t>
            </w:r>
            <w:proofErr w:type="spellStart"/>
            <w:r w:rsidR="00DB4949">
              <w:rPr>
                <w:sz w:val="22"/>
              </w:rPr>
              <w:t>business</w:t>
            </w:r>
            <w:proofErr w:type="spellEnd"/>
            <w:r w:rsidR="00DB4949">
              <w:rPr>
                <w:sz w:val="22"/>
              </w:rPr>
              <w:t xml:space="preserve"> </w:t>
            </w:r>
            <w:proofErr w:type="spellStart"/>
            <w:r w:rsidR="00DB4949">
              <w:rPr>
                <w:sz w:val="22"/>
              </w:rPr>
              <w:t>cycles</w:t>
            </w:r>
            <w:proofErr w:type="spellEnd"/>
            <w:r w:rsidR="009E571F">
              <w:rPr>
                <w:sz w:val="22"/>
              </w:rPr>
              <w:t xml:space="preserve">, Money, </w:t>
            </w:r>
            <w:proofErr w:type="spellStart"/>
            <w:r w:rsidR="009E571F">
              <w:rPr>
                <w:sz w:val="22"/>
              </w:rPr>
              <w:t>monetary</w:t>
            </w:r>
            <w:proofErr w:type="spellEnd"/>
            <w:r w:rsidR="009E571F">
              <w:rPr>
                <w:sz w:val="22"/>
              </w:rPr>
              <w:t xml:space="preserve"> </w:t>
            </w:r>
            <w:proofErr w:type="spellStart"/>
            <w:r w:rsidR="009E571F">
              <w:rPr>
                <w:sz w:val="22"/>
              </w:rPr>
              <w:t>policy</w:t>
            </w:r>
            <w:proofErr w:type="spellEnd"/>
            <w:r w:rsidR="009E571F">
              <w:rPr>
                <w:sz w:val="22"/>
              </w:rPr>
              <w:t xml:space="preserve"> </w:t>
            </w:r>
            <w:proofErr w:type="spellStart"/>
            <w:r w:rsidR="009E571F">
              <w:rPr>
                <w:sz w:val="22"/>
              </w:rPr>
              <w:t>and</w:t>
            </w:r>
            <w:proofErr w:type="spellEnd"/>
            <w:r w:rsidR="009E571F">
              <w:rPr>
                <w:sz w:val="22"/>
              </w:rPr>
              <w:t xml:space="preserve"> </w:t>
            </w:r>
            <w:proofErr w:type="spellStart"/>
            <w:r w:rsidR="009E571F">
              <w:rPr>
                <w:sz w:val="22"/>
              </w:rPr>
              <w:t>fiscal</w:t>
            </w:r>
            <w:proofErr w:type="spellEnd"/>
            <w:r w:rsidR="009E571F">
              <w:rPr>
                <w:sz w:val="22"/>
              </w:rPr>
              <w:t xml:space="preserve"> </w:t>
            </w:r>
            <w:proofErr w:type="spellStart"/>
            <w:r w:rsidR="009E571F">
              <w:rPr>
                <w:sz w:val="22"/>
              </w:rPr>
              <w:t>policy</w:t>
            </w:r>
            <w:proofErr w:type="spellEnd"/>
            <w:r w:rsidR="009E571F">
              <w:rPr>
                <w:sz w:val="22"/>
              </w:rPr>
              <w:t xml:space="preserve">, </w:t>
            </w:r>
            <w:proofErr w:type="spellStart"/>
            <w:r w:rsidR="009E571F">
              <w:rPr>
                <w:sz w:val="22"/>
              </w:rPr>
              <w:t>aggregate</w:t>
            </w:r>
            <w:proofErr w:type="spellEnd"/>
            <w:r w:rsidR="009E571F">
              <w:rPr>
                <w:sz w:val="22"/>
              </w:rPr>
              <w:t xml:space="preserve"> </w:t>
            </w:r>
            <w:proofErr w:type="spellStart"/>
            <w:r w:rsidR="009E571F">
              <w:rPr>
                <w:sz w:val="22"/>
              </w:rPr>
              <w:t>consumption</w:t>
            </w:r>
            <w:proofErr w:type="spellEnd"/>
            <w:r w:rsidR="009E571F">
              <w:rPr>
                <w:sz w:val="22"/>
              </w:rPr>
              <w:t xml:space="preserve">, </w:t>
            </w:r>
            <w:proofErr w:type="spellStart"/>
            <w:r w:rsidR="009E571F">
              <w:rPr>
                <w:sz w:val="22"/>
              </w:rPr>
              <w:t>investment</w:t>
            </w:r>
            <w:proofErr w:type="spellEnd"/>
            <w:r w:rsidR="009E571F">
              <w:rPr>
                <w:sz w:val="22"/>
              </w:rPr>
              <w:t xml:space="preserve"> </w:t>
            </w:r>
            <w:proofErr w:type="spellStart"/>
            <w:r w:rsidR="009E571F">
              <w:rPr>
                <w:sz w:val="22"/>
              </w:rPr>
              <w:t>and</w:t>
            </w:r>
            <w:proofErr w:type="spellEnd"/>
            <w:r w:rsidR="009E571F">
              <w:rPr>
                <w:sz w:val="22"/>
              </w:rPr>
              <w:t xml:space="preserve"> </w:t>
            </w:r>
            <w:proofErr w:type="spellStart"/>
            <w:r w:rsidR="009E571F">
              <w:rPr>
                <w:sz w:val="22"/>
              </w:rPr>
              <w:t>foreign</w:t>
            </w:r>
            <w:proofErr w:type="spellEnd"/>
            <w:r w:rsidR="009E571F">
              <w:rPr>
                <w:sz w:val="22"/>
              </w:rPr>
              <w:t xml:space="preserve"> </w:t>
            </w:r>
            <w:proofErr w:type="spellStart"/>
            <w:r w:rsidR="009E571F">
              <w:rPr>
                <w:sz w:val="22"/>
              </w:rPr>
              <w:t>trade</w:t>
            </w:r>
            <w:proofErr w:type="spellEnd"/>
            <w:r w:rsidR="009E571F"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A77ADC" w:rsidTr="004253C6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9E571F" w:rsidP="004253C6">
            <w:pPr>
              <w:ind w:left="27"/>
              <w:rPr>
                <w:sz w:val="22"/>
              </w:rPr>
            </w:pPr>
            <w:r>
              <w:rPr>
                <w:sz w:val="22"/>
              </w:rPr>
              <w:t xml:space="preserve">Framework </w:t>
            </w:r>
            <w:proofErr w:type="spellStart"/>
            <w:r>
              <w:rPr>
                <w:sz w:val="22"/>
              </w:rPr>
              <w:t>for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microeconomics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A77ADC" w:rsidTr="004253C6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88" w:rsidRDefault="009E571F" w:rsidP="004253C6">
            <w:pPr>
              <w:ind w:left="27"/>
              <w:rPr>
                <w:sz w:val="22"/>
              </w:rPr>
            </w:pPr>
            <w:r>
              <w:rPr>
                <w:sz w:val="22"/>
              </w:rPr>
              <w:t xml:space="preserve">Consumer </w:t>
            </w:r>
            <w:proofErr w:type="spellStart"/>
            <w:r>
              <w:rPr>
                <w:sz w:val="22"/>
              </w:rPr>
              <w:t>theory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production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theory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cost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production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theory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A77ADC" w:rsidTr="004253C6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9E571F" w:rsidP="004253C6">
            <w:pPr>
              <w:ind w:left="27"/>
              <w:rPr>
                <w:sz w:val="22"/>
              </w:rPr>
            </w:pPr>
            <w:r>
              <w:rPr>
                <w:sz w:val="22"/>
              </w:rPr>
              <w:t xml:space="preserve">Market </w:t>
            </w:r>
            <w:proofErr w:type="spellStart"/>
            <w:r>
              <w:rPr>
                <w:sz w:val="22"/>
              </w:rPr>
              <w:t>structure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A77ADC" w:rsidTr="004253C6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9E571F" w:rsidP="00AF568C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Combining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microeconomics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macroeconomics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/>
                <w:sz w:val="20"/>
                <w:szCs w:val="22"/>
                <w:lang w:val="en-US"/>
              </w:rPr>
            </w:pPr>
            <w:r>
              <w:rPr>
                <w:rFonts w:ascii="Arial" w:hAnsi="Arial"/>
                <w:sz w:val="20"/>
                <w:szCs w:val="22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jc w:val="center"/>
              <w:rPr>
                <w:lang w:val="en-US"/>
              </w:rPr>
            </w:pPr>
            <w:r>
              <w:rPr>
                <w:rFonts w:ascii="Arial" w:hAnsi="Arial"/>
                <w:sz w:val="20"/>
                <w:szCs w:val="22"/>
                <w:lang w:val="en-US"/>
              </w:rPr>
              <w:t>4</w:t>
            </w:r>
          </w:p>
        </w:tc>
      </w:tr>
      <w:tr w:rsidR="00A77ADC" w:rsidTr="004253C6">
        <w:trPr>
          <w:trHeight w:val="793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A77ADC" w:rsidP="00221F2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Course Description: </w:t>
            </w:r>
            <w:r w:rsidR="000B22EF" w:rsidRPr="00221F2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This course is for </w:t>
            </w:r>
            <w:r w:rsidR="006C60A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Ph.D. students who would like have a deeper understanding in economic theories.  This course is </w:t>
            </w:r>
            <w:r w:rsidR="00CA4829">
              <w:rPr>
                <w:rFonts w:ascii="Arial" w:hAnsi="Arial" w:cs="Arial"/>
                <w:bCs/>
                <w:sz w:val="20"/>
                <w:szCs w:val="20"/>
                <w:lang w:val="en-US"/>
              </w:rPr>
              <w:t>designed for</w:t>
            </w:r>
            <w:r w:rsidR="006C60A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macroeconomics</w:t>
            </w:r>
            <w:r w:rsidR="00CA482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microeconomics together.</w:t>
            </w:r>
            <w:r w:rsidR="00221F25" w:rsidRPr="00221F2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DC58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It is expected that Ph.D. students will have a clear idea of functioning of macroeconomics and</w:t>
            </w:r>
            <w:r w:rsidR="00CA482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CA482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microeconomics </w:t>
            </w:r>
            <w:r w:rsidR="00DC58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that</w:t>
            </w:r>
            <w:proofErr w:type="gramEnd"/>
            <w:r w:rsidR="00DC58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combine these functions with the thought of economics. </w:t>
            </w:r>
          </w:p>
        </w:tc>
      </w:tr>
      <w:tr w:rsidR="00A77ADC" w:rsidTr="004253C6">
        <w:trPr>
          <w:trHeight w:val="221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Outline (Weekly Course Plan)</w:t>
            </w:r>
          </w:p>
        </w:tc>
      </w:tr>
      <w:tr w:rsidR="00A77ADC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4253C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Subject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A77ADC" w:rsidP="004253C6">
            <w:pPr>
              <w:ind w:left="180" w:hanging="18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Preparation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Method</w:t>
            </w:r>
          </w:p>
        </w:tc>
      </w:tr>
      <w:tr w:rsidR="00A77ADC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59617C" w:rsidP="0059617C">
            <w:r w:rsidRPr="0059617C">
              <w:t xml:space="preserve">A general </w:t>
            </w:r>
            <w:proofErr w:type="spellStart"/>
            <w:r w:rsidRPr="0059617C">
              <w:t>frame</w:t>
            </w:r>
            <w:r w:rsidR="00DF2739">
              <w:t>work</w:t>
            </w:r>
            <w:proofErr w:type="spellEnd"/>
            <w:r w:rsidRPr="0059617C">
              <w:t xml:space="preserve"> </w:t>
            </w:r>
            <w:proofErr w:type="spellStart"/>
            <w:r w:rsidRPr="0059617C">
              <w:t>for</w:t>
            </w:r>
            <w:proofErr w:type="spellEnd"/>
            <w:r w:rsidRPr="0059617C">
              <w:t xml:space="preserve"> </w:t>
            </w:r>
            <w:proofErr w:type="spellStart"/>
            <w:r w:rsidR="006C60A3">
              <w:t>economic</w:t>
            </w:r>
            <w:proofErr w:type="spellEnd"/>
            <w:r w:rsidR="006C60A3">
              <w:t xml:space="preserve"> </w:t>
            </w:r>
            <w:proofErr w:type="spellStart"/>
            <w:r w:rsidR="006C60A3">
              <w:t>theories</w:t>
            </w:r>
            <w:proofErr w:type="spellEnd"/>
            <w:r w:rsidR="006C60A3"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:rsidR="00A77ADC" w:rsidRDefault="006B421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Related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chapters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A77ADC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6C60A3" w:rsidP="004253C6"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income</w:t>
            </w:r>
            <w:proofErr w:type="spellEnd"/>
            <w:r>
              <w:t xml:space="preserve"> </w:t>
            </w:r>
            <w:proofErr w:type="spellStart"/>
            <w:r>
              <w:t>accounting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1C" w:rsidRDefault="00A77ADC" w:rsidP="006B421C">
            <w:r>
              <w:t xml:space="preserve">              </w:t>
            </w:r>
            <w:r w:rsidR="006B421C">
              <w:t xml:space="preserve">  </w:t>
            </w:r>
          </w:p>
          <w:p w:rsidR="006B421C" w:rsidRDefault="006B421C" w:rsidP="006B421C">
            <w:r>
              <w:t xml:space="preserve">     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</w:p>
          <w:p w:rsidR="00A77ADC" w:rsidRDefault="006B421C" w:rsidP="006B421C">
            <w:r>
              <w:t xml:space="preserve">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A77ADC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6C60A3" w:rsidP="004253C6">
            <w:proofErr w:type="spellStart"/>
            <w:r>
              <w:t>Growth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cycles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6B421C" w:rsidRDefault="006B421C" w:rsidP="006B421C">
            <w:r>
              <w:t xml:space="preserve">      </w:t>
            </w:r>
            <w:proofErr w:type="spellStart"/>
            <w:r>
              <w:t>Related</w:t>
            </w:r>
            <w:proofErr w:type="spellEnd"/>
            <w:r>
              <w:t xml:space="preserve">  </w:t>
            </w:r>
          </w:p>
          <w:p w:rsidR="00A77ADC" w:rsidRDefault="006B421C" w:rsidP="006B421C">
            <w:r>
              <w:t xml:space="preserve">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A77ADC" w:rsidTr="004253C6">
        <w:trPr>
          <w:trHeight w:val="290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A77ADC" w:rsidP="0059617C">
            <w:r>
              <w:t xml:space="preserve"> </w:t>
            </w:r>
            <w:proofErr w:type="spellStart"/>
            <w:r w:rsidR="006C60A3">
              <w:t>Thought</w:t>
            </w:r>
            <w:proofErr w:type="spellEnd"/>
            <w:r w:rsidR="006C60A3">
              <w:t xml:space="preserve"> of </w:t>
            </w:r>
            <w:proofErr w:type="spellStart"/>
            <w:r w:rsidR="006C60A3">
              <w:t>economics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1C" w:rsidRDefault="006B421C" w:rsidP="006B421C">
            <w:r>
              <w:t xml:space="preserve">      </w:t>
            </w:r>
            <w:proofErr w:type="spellStart"/>
            <w:r>
              <w:t>Related</w:t>
            </w:r>
            <w:proofErr w:type="spellEnd"/>
            <w:r>
              <w:t xml:space="preserve">  </w:t>
            </w:r>
          </w:p>
          <w:p w:rsidR="00A77ADC" w:rsidRDefault="006B421C" w:rsidP="006B421C">
            <w:r>
              <w:t xml:space="preserve">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A77ADC" w:rsidTr="0059617C">
        <w:trPr>
          <w:trHeight w:val="507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A77ADC" w:rsidRDefault="007D5437" w:rsidP="004253C6">
            <w:r>
              <w:t xml:space="preserve">Money, </w:t>
            </w:r>
            <w:proofErr w:type="spellStart"/>
            <w:r>
              <w:t>monetary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, </w:t>
            </w:r>
            <w:proofErr w:type="spellStart"/>
            <w:r>
              <w:t>fiscal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1C" w:rsidRDefault="006B421C" w:rsidP="006B421C">
            <w:r>
              <w:t xml:space="preserve">      </w:t>
            </w:r>
            <w:proofErr w:type="spellStart"/>
            <w:r>
              <w:t>Related</w:t>
            </w:r>
            <w:proofErr w:type="spellEnd"/>
            <w:r>
              <w:t xml:space="preserve">  </w:t>
            </w:r>
          </w:p>
          <w:p w:rsidR="00A77ADC" w:rsidRDefault="006B421C" w:rsidP="006B421C">
            <w:r>
              <w:t xml:space="preserve">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C" w:rsidRDefault="00A77ADC" w:rsidP="004253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7D5437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7D5437" w:rsidRDefault="007D5437" w:rsidP="007D5437">
            <w:proofErr w:type="spellStart"/>
            <w:r>
              <w:t>Aggragate</w:t>
            </w:r>
            <w:proofErr w:type="spellEnd"/>
            <w:r>
              <w:t xml:space="preserve"> </w:t>
            </w:r>
            <w:proofErr w:type="spellStart"/>
            <w:r>
              <w:t>consumption</w:t>
            </w:r>
            <w:proofErr w:type="spellEnd"/>
            <w:r>
              <w:t xml:space="preserve">, </w:t>
            </w:r>
            <w:proofErr w:type="spellStart"/>
            <w:r>
              <w:t>investment</w:t>
            </w:r>
            <w:proofErr w:type="spellEnd"/>
            <w:r>
              <w:t xml:space="preserve">,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sector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trade</w:t>
            </w:r>
            <w:proofErr w:type="spellEnd"/>
            <w:r w:rsidR="005D483C"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7D5437" w:rsidRDefault="007D5437" w:rsidP="007D5437">
            <w:r>
              <w:t xml:space="preserve">       </w:t>
            </w:r>
            <w:proofErr w:type="spellStart"/>
            <w:r>
              <w:t>Related</w:t>
            </w:r>
            <w:proofErr w:type="spellEnd"/>
            <w:r>
              <w:t xml:space="preserve">  </w:t>
            </w:r>
          </w:p>
          <w:p w:rsidR="007D5437" w:rsidRDefault="007D5437" w:rsidP="007D5437">
            <w:r>
              <w:t xml:space="preserve"> 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7D5437" w:rsidTr="007D5437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7D5437" w:rsidRDefault="005D483C" w:rsidP="007D5437">
            <w:proofErr w:type="spellStart"/>
            <w:r>
              <w:t>Microeconimics</w:t>
            </w:r>
            <w:proofErr w:type="spellEnd"/>
            <w:r>
              <w:t xml:space="preserve">, </w:t>
            </w:r>
            <w:proofErr w:type="spellStart"/>
            <w:r>
              <w:t>consumer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7D5437">
            <w:r>
              <w:t xml:space="preserve">       </w:t>
            </w:r>
            <w:proofErr w:type="spellStart"/>
            <w:r>
              <w:t>Related</w:t>
            </w:r>
            <w:proofErr w:type="spellEnd"/>
            <w:r>
              <w:t xml:space="preserve">      </w:t>
            </w:r>
          </w:p>
          <w:p w:rsidR="007D5437" w:rsidRDefault="007D5437" w:rsidP="007D5437">
            <w:r>
              <w:t xml:space="preserve"> 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7D5437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7D5437" w:rsidRDefault="009466E5" w:rsidP="007D5437">
            <w:proofErr w:type="spellStart"/>
            <w:r>
              <w:t>Demand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supply</w:t>
            </w:r>
            <w:proofErr w:type="spellEnd"/>
            <w:r>
              <w:t xml:space="preserve">.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7D5437">
            <w:r>
              <w:t xml:space="preserve">      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</w:p>
          <w:p w:rsidR="007D5437" w:rsidRDefault="007D5437" w:rsidP="007D5437">
            <w:r>
              <w:t xml:space="preserve"> 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7D5437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7D5437" w:rsidRDefault="009466E5" w:rsidP="007D5437"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7D5437" w:rsidRDefault="007D5437" w:rsidP="007D5437">
            <w:r>
              <w:t xml:space="preserve">       </w:t>
            </w:r>
            <w:proofErr w:type="spellStart"/>
            <w:r>
              <w:t>Related</w:t>
            </w:r>
            <w:proofErr w:type="spellEnd"/>
            <w:r>
              <w:t xml:space="preserve">     </w:t>
            </w:r>
          </w:p>
          <w:p w:rsidR="007D5437" w:rsidRDefault="007D5437" w:rsidP="007D5437">
            <w:r>
              <w:t xml:space="preserve">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7D5437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7D5437" w:rsidRDefault="009466E5" w:rsidP="007D5437">
            <w:proofErr w:type="spellStart"/>
            <w:r>
              <w:t>Cost</w:t>
            </w:r>
            <w:proofErr w:type="spellEnd"/>
            <w:r>
              <w:t xml:space="preserve"> of </w:t>
            </w:r>
            <w:proofErr w:type="spellStart"/>
            <w:r>
              <w:t>production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7D5437">
            <w:r>
              <w:t xml:space="preserve">       </w:t>
            </w:r>
            <w:proofErr w:type="spellStart"/>
            <w:r>
              <w:t>Related</w:t>
            </w:r>
            <w:proofErr w:type="spellEnd"/>
            <w:r>
              <w:t xml:space="preserve">  </w:t>
            </w:r>
          </w:p>
          <w:p w:rsidR="007D5437" w:rsidRDefault="007D5437" w:rsidP="007D5437">
            <w:r>
              <w:t xml:space="preserve"> 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  <w:r>
              <w:t xml:space="preserve"> 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7D5437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7D5437" w:rsidRDefault="009466E5" w:rsidP="007D5437">
            <w:r>
              <w:t xml:space="preserve">Market structure-1. </w:t>
            </w:r>
            <w:proofErr w:type="spellStart"/>
            <w:r>
              <w:t>Pure</w:t>
            </w:r>
            <w:proofErr w:type="spellEnd"/>
            <w:r>
              <w:t xml:space="preserve"> </w:t>
            </w:r>
            <w:proofErr w:type="spellStart"/>
            <w:r>
              <w:t>competition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7D5437" w:rsidRDefault="007D5437" w:rsidP="007D5437">
            <w:pPr>
              <w:jc w:val="center"/>
            </w:pPr>
            <w:r>
              <w:t xml:space="preserve">    </w:t>
            </w:r>
            <w:proofErr w:type="spellStart"/>
            <w:r>
              <w:t>Related</w:t>
            </w:r>
            <w:proofErr w:type="spellEnd"/>
            <w:r>
              <w:t xml:space="preserve">   </w:t>
            </w:r>
          </w:p>
          <w:p w:rsidR="007D5437" w:rsidRDefault="007D5437" w:rsidP="007D5437">
            <w:pPr>
              <w:jc w:val="center"/>
            </w:pPr>
            <w:r>
              <w:t xml:space="preserve">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7D5437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7D5437" w:rsidRDefault="007D5437" w:rsidP="007D5437">
            <w:r>
              <w:t xml:space="preserve"> </w:t>
            </w:r>
            <w:r w:rsidR="009466E5">
              <w:t xml:space="preserve">Market structure-2. Monopol, </w:t>
            </w:r>
            <w:proofErr w:type="spellStart"/>
            <w:r w:rsidR="009466E5">
              <w:t>monopolistic</w:t>
            </w:r>
            <w:proofErr w:type="spellEnd"/>
            <w:r w:rsidR="009466E5">
              <w:t xml:space="preserve"> </w:t>
            </w:r>
            <w:proofErr w:type="spellStart"/>
            <w:r w:rsidR="009466E5">
              <w:t>competition</w:t>
            </w:r>
            <w:proofErr w:type="spellEnd"/>
            <w:r w:rsidR="009466E5">
              <w:t xml:space="preserve"> </w:t>
            </w:r>
            <w:proofErr w:type="spellStart"/>
            <w:r w:rsidR="009466E5">
              <w:t>and</w:t>
            </w:r>
            <w:proofErr w:type="spellEnd"/>
            <w:r w:rsidR="009466E5">
              <w:t xml:space="preserve"> oligopol.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7" w:rsidRDefault="007D5437" w:rsidP="007D5437">
            <w:r>
              <w:t xml:space="preserve">        </w:t>
            </w:r>
            <w:proofErr w:type="spellStart"/>
            <w:r>
              <w:t>Related</w:t>
            </w:r>
            <w:proofErr w:type="spellEnd"/>
            <w:r>
              <w:t xml:space="preserve">  </w:t>
            </w:r>
          </w:p>
          <w:p w:rsidR="007D5437" w:rsidRDefault="007D5437" w:rsidP="007D5437">
            <w:r>
              <w:t xml:space="preserve">   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7D5437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7D5437" w:rsidRDefault="009466E5" w:rsidP="007D5437">
            <w:proofErr w:type="spellStart"/>
            <w:r>
              <w:t>Wealth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  <w:r>
              <w:t xml:space="preserve"> </w:t>
            </w:r>
            <w:proofErr w:type="spellStart"/>
            <w:r>
              <w:t>revisited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7D5437" w:rsidRDefault="007D5437" w:rsidP="007D5437">
            <w:r>
              <w:t xml:space="preserve">        </w:t>
            </w:r>
            <w:proofErr w:type="spellStart"/>
            <w:r>
              <w:t>Related</w:t>
            </w:r>
            <w:proofErr w:type="spellEnd"/>
            <w:r>
              <w:t xml:space="preserve">  </w:t>
            </w:r>
          </w:p>
          <w:p w:rsidR="007D5437" w:rsidRDefault="007D5437" w:rsidP="007D5437">
            <w:r>
              <w:t xml:space="preserve">        </w:t>
            </w:r>
            <w:proofErr w:type="spellStart"/>
            <w:proofErr w:type="gramStart"/>
            <w:r>
              <w:t>chapters</w:t>
            </w:r>
            <w:proofErr w:type="spellEnd"/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7D5437" w:rsidTr="004253C6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:rsidR="007D5437" w:rsidRDefault="009466E5" w:rsidP="007D5437">
            <w:proofErr w:type="spellStart"/>
            <w:r>
              <w:t>Combining</w:t>
            </w:r>
            <w:proofErr w:type="spellEnd"/>
            <w:r>
              <w:t xml:space="preserve"> </w:t>
            </w:r>
            <w:proofErr w:type="spellStart"/>
            <w:r>
              <w:t>microecomy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macroeconomy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:rsidR="007D5437" w:rsidRDefault="007D5437" w:rsidP="007D5437">
            <w:pPr>
              <w:jc w:val="center"/>
            </w:pPr>
            <w:r>
              <w:t xml:space="preserve">  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:rsidR="007D5437" w:rsidRDefault="007D5437" w:rsidP="007D54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General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7D5437" w:rsidTr="004253C6">
        <w:trPr>
          <w:trHeight w:val="59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tbl>
            <w:tblPr>
              <w:tblW w:w="10533" w:type="dxa"/>
              <w:tblInd w:w="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0"/>
              <w:gridCol w:w="1430"/>
              <w:gridCol w:w="1229"/>
              <w:gridCol w:w="191"/>
              <w:gridCol w:w="1267"/>
              <w:gridCol w:w="36"/>
              <w:gridCol w:w="2790"/>
              <w:gridCol w:w="2350"/>
            </w:tblGrid>
            <w:tr w:rsidR="007D5437" w:rsidTr="004253C6">
              <w:trPr>
                <w:trHeight w:val="59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REFERENCES</w:t>
                  </w:r>
                </w:p>
              </w:tc>
            </w:tr>
            <w:tr w:rsidR="007D5437" w:rsidTr="004253C6">
              <w:trPr>
                <w:trHeight w:val="221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437" w:rsidRDefault="007D5437" w:rsidP="007D54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Books</w:t>
                  </w:r>
                </w:p>
              </w:tc>
              <w:tc>
                <w:tcPr>
                  <w:tcW w:w="929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437" w:rsidRDefault="007D5437" w:rsidP="007D5437">
                  <w:pPr>
                    <w:pStyle w:val="ListeParagraf"/>
                    <w:numPr>
                      <w:ilvl w:val="0"/>
                      <w:numId w:val="1"/>
                    </w:numPr>
                  </w:pPr>
                  <w:proofErr w:type="spellStart"/>
                  <w:r>
                    <w:t>Dernburg</w:t>
                  </w:r>
                  <w:proofErr w:type="spellEnd"/>
                  <w:r>
                    <w:t xml:space="preserve">, Thomas F., </w:t>
                  </w:r>
                  <w:proofErr w:type="spellStart"/>
                  <w:r>
                    <w:t>Macroeconomics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Concepts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Theories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Policies</w:t>
                  </w:r>
                  <w:proofErr w:type="spellEnd"/>
                  <w:r>
                    <w:t xml:space="preserve">,  </w:t>
                  </w:r>
                  <w:proofErr w:type="spellStart"/>
                  <w:r>
                    <w:t>Seventh</w:t>
                  </w:r>
                  <w:proofErr w:type="spellEnd"/>
                  <w:proofErr w:type="gramEnd"/>
                  <w:r>
                    <w:t xml:space="preserve"> Edition, </w:t>
                  </w:r>
                  <w:proofErr w:type="spellStart"/>
                  <w:r>
                    <w:t>McGraw-Hill</w:t>
                  </w:r>
                  <w:proofErr w:type="spellEnd"/>
                  <w:r>
                    <w:t xml:space="preserve"> International </w:t>
                  </w:r>
                  <w:proofErr w:type="spellStart"/>
                  <w:r>
                    <w:t>Editions</w:t>
                  </w:r>
                  <w:proofErr w:type="spellEnd"/>
                  <w:r>
                    <w:t>, 1985.</w:t>
                  </w:r>
                </w:p>
                <w:p w:rsidR="007D5437" w:rsidRDefault="007D5437" w:rsidP="007D5437">
                  <w:pPr>
                    <w:pStyle w:val="ListeParagraf"/>
                    <w:numPr>
                      <w:ilvl w:val="0"/>
                      <w:numId w:val="1"/>
                    </w:numPr>
                  </w:pPr>
                  <w:proofErr w:type="spellStart"/>
                  <w:r>
                    <w:t>Dornbusch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Rudiger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Stanley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Fischer</w:t>
                  </w:r>
                  <w:proofErr w:type="spellEnd"/>
                  <w:r>
                    <w:t xml:space="preserve">, Macro </w:t>
                  </w:r>
                  <w:proofErr w:type="spellStart"/>
                  <w:r>
                    <w:t>Economics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Sixth</w:t>
                  </w:r>
                  <w:proofErr w:type="spellEnd"/>
                  <w:r>
                    <w:t xml:space="preserve"> Edition, </w:t>
                  </w:r>
                  <w:proofErr w:type="spellStart"/>
                  <w:r>
                    <w:t>McGraw-Hill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Inc</w:t>
                  </w:r>
                  <w:proofErr w:type="spellEnd"/>
                  <w:r>
                    <w:t>., 1994.</w:t>
                  </w:r>
                </w:p>
                <w:p w:rsidR="007D5437" w:rsidRDefault="007D5437" w:rsidP="007D5437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t>Tunay, K. Batu, Makro Ekonomi, Teori ve Politika, 2. Basım, Nobel Yayınevi, Kasım 2014.</w:t>
                  </w:r>
                </w:p>
                <w:p w:rsidR="009466E5" w:rsidRDefault="009466E5" w:rsidP="007D5437">
                  <w:pPr>
                    <w:pStyle w:val="ListeParagraf"/>
                    <w:numPr>
                      <w:ilvl w:val="0"/>
                      <w:numId w:val="1"/>
                    </w:numPr>
                  </w:pPr>
                  <w:proofErr w:type="spellStart"/>
                  <w:r>
                    <w:t>Koutsoyıannıs</w:t>
                  </w:r>
                  <w:proofErr w:type="spellEnd"/>
                  <w:r>
                    <w:t xml:space="preserve">, A., Modern Mikro İktisat, (çev. Muzaffer </w:t>
                  </w:r>
                  <w:proofErr w:type="spellStart"/>
                  <w:r>
                    <w:t>Sarımeşeli</w:t>
                  </w:r>
                  <w:proofErr w:type="spellEnd"/>
                  <w:r>
                    <w:t>), Gazi Kitabevi, 1997.</w:t>
                  </w:r>
                </w:p>
                <w:p w:rsidR="009466E5" w:rsidRDefault="009466E5" w:rsidP="007D5437">
                  <w:pPr>
                    <w:pStyle w:val="ListeParagraf"/>
                    <w:numPr>
                      <w:ilvl w:val="0"/>
                      <w:numId w:val="1"/>
                    </w:numPr>
                  </w:pPr>
                  <w:proofErr w:type="spellStart"/>
                  <w:r>
                    <w:t>Varian</w:t>
                  </w:r>
                  <w:proofErr w:type="spellEnd"/>
                  <w:r>
                    <w:t xml:space="preserve">, R. Hal, </w:t>
                  </w:r>
                  <w:proofErr w:type="spellStart"/>
                  <w:r>
                    <w:t>Intermediate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Microeconomic</w:t>
                  </w:r>
                  <w:proofErr w:type="spellEnd"/>
                  <w:r>
                    <w:t xml:space="preserve">, A Modern </w:t>
                  </w:r>
                  <w:proofErr w:type="spellStart"/>
                  <w:r>
                    <w:t>Approach</w:t>
                  </w:r>
                  <w:proofErr w:type="spellEnd"/>
                  <w:r>
                    <w:t xml:space="preserve">, W.W. Norton &amp; </w:t>
                  </w:r>
                  <w:proofErr w:type="spellStart"/>
                  <w:r>
                    <w:t>Company</w:t>
                  </w:r>
                  <w:proofErr w:type="spellEnd"/>
                  <w:r>
                    <w:t>, 2010.</w:t>
                  </w:r>
                  <w:bookmarkStart w:id="0" w:name="_GoBack"/>
                  <w:bookmarkEnd w:id="0"/>
                </w:p>
                <w:p w:rsidR="007D5437" w:rsidRDefault="007D5437" w:rsidP="007D5437">
                  <w:pPr>
                    <w:pStyle w:val="ListeParagraf"/>
                  </w:pPr>
                  <w:r>
                    <w:tab/>
                  </w:r>
                </w:p>
                <w:p w:rsidR="007D5437" w:rsidRDefault="007D5437" w:rsidP="007D5437"/>
              </w:tc>
            </w:tr>
            <w:tr w:rsidR="007D5437" w:rsidTr="004253C6">
              <w:trPr>
                <w:trHeight w:val="221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GRADING METHOD</w:t>
                  </w:r>
                </w:p>
              </w:tc>
            </w:tr>
            <w:tr w:rsidR="007D5437" w:rsidTr="004253C6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Course, Homework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No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Effect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Notes</w:t>
                  </w:r>
                </w:p>
              </w:tc>
            </w:tr>
            <w:tr w:rsidR="007D5437" w:rsidTr="004253C6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Mid-term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%40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Weekly term papers, worksheets and a take home examination.</w:t>
                  </w:r>
                </w:p>
              </w:tc>
            </w:tr>
            <w:tr w:rsidR="007D5437" w:rsidTr="004253C6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Final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%60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Weekly term papers, worksheets and a take home examination.</w:t>
                  </w:r>
                </w:p>
              </w:tc>
            </w:tr>
            <w:tr w:rsidR="007D5437" w:rsidTr="004253C6">
              <w:trPr>
                <w:trHeight w:val="69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437" w:rsidRDefault="007D5437" w:rsidP="007D5437">
                  <w:pPr>
                    <w:rPr>
                      <w:b/>
                    </w:rPr>
                  </w:pPr>
                </w:p>
                <w:p w:rsidR="007D5437" w:rsidRDefault="007D5437" w:rsidP="007D5437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Scientific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and</w:t>
                  </w:r>
                  <w:proofErr w:type="spellEnd"/>
                  <w:r>
                    <w:rPr>
                      <w:b/>
                    </w:rPr>
                    <w:t xml:space="preserve"> Professional </w:t>
                  </w:r>
                  <w:proofErr w:type="spellStart"/>
                  <w:r>
                    <w:rPr>
                      <w:b/>
                    </w:rPr>
                    <w:t>Ethic</w:t>
                  </w:r>
                  <w:proofErr w:type="spellEnd"/>
                  <w:r>
                    <w:rPr>
                      <w:b/>
                    </w:rPr>
                    <w:t xml:space="preserve"> Rules</w:t>
                  </w:r>
                </w:p>
                <w:p w:rsidR="007D5437" w:rsidRDefault="007D5437" w:rsidP="007D5437">
                  <w:proofErr w:type="spellStart"/>
                  <w:proofErr w:type="gramStart"/>
                  <w:r>
                    <w:t>Ph.D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students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should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obey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ethical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rules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determined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University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It</w:t>
                  </w:r>
                  <w:proofErr w:type="spellEnd"/>
                  <w:r>
                    <w:t xml:space="preserve"> is </w:t>
                  </w:r>
                  <w:proofErr w:type="spellStart"/>
                  <w:r>
                    <w:t>expected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are</w:t>
                  </w:r>
                  <w:proofErr w:type="spellEnd"/>
                  <w:r>
                    <w:t xml:space="preserve"> not </w:t>
                  </w:r>
                  <w:proofErr w:type="spellStart"/>
                  <w:r>
                    <w:t>going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behave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any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actions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are</w:t>
                  </w:r>
                  <w:proofErr w:type="spellEnd"/>
                  <w:r>
                    <w:t xml:space="preserve"> not </w:t>
                  </w:r>
                  <w:proofErr w:type="spellStart"/>
                  <w:r>
                    <w:t>get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along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well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studentship</w:t>
                  </w:r>
                  <w:proofErr w:type="spellEnd"/>
                  <w:r>
                    <w:t xml:space="preserve">.  </w:t>
                  </w:r>
                  <w:proofErr w:type="spellStart"/>
                  <w:r>
                    <w:t>Academic</w:t>
                  </w:r>
                  <w:proofErr w:type="spellEnd"/>
                  <w:r>
                    <w:t xml:space="preserve"> life is </w:t>
                  </w:r>
                  <w:proofErr w:type="spellStart"/>
                  <w:r>
                    <w:t>based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honesty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right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behavior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responsible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behavior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Graduate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students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Cag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University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expected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know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University’s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rules</w:t>
                  </w:r>
                  <w:proofErr w:type="spellEnd"/>
                  <w:r>
                    <w:t xml:space="preserve"> as </w:t>
                  </w:r>
                  <w:proofErr w:type="spellStart"/>
                  <w:r>
                    <w:t>well</w:t>
                  </w:r>
                  <w:proofErr w:type="spellEnd"/>
                  <w:r>
                    <w:t xml:space="preserve"> as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University’s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mission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vision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academic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values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which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are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available</w:t>
                  </w:r>
                  <w:proofErr w:type="spellEnd"/>
                  <w:proofErr w:type="gramEnd"/>
                  <w:r>
                    <w:t xml:space="preserve"> at web </w:t>
                  </w:r>
                  <w:proofErr w:type="spellStart"/>
                  <w:r>
                    <w:t>page</w:t>
                  </w:r>
                  <w:proofErr w:type="spellEnd"/>
                  <w:r>
                    <w:t>.</w:t>
                  </w:r>
                </w:p>
                <w:p w:rsidR="007D5437" w:rsidRDefault="007D5437" w:rsidP="007D5437">
                  <w:pPr>
                    <w:jc w:val="right"/>
                  </w:pPr>
                  <w:r>
                    <w:rPr>
                      <w:i/>
                    </w:rPr>
                    <w:t>“</w:t>
                  </w:r>
                  <w:proofErr w:type="spellStart"/>
                  <w:r>
                    <w:rPr>
                      <w:i/>
                    </w:rPr>
                    <w:t>Strive</w:t>
                  </w:r>
                  <w:proofErr w:type="spellEnd"/>
                  <w:r>
                    <w:rPr>
                      <w:i/>
                    </w:rPr>
                    <w:t xml:space="preserve"> not </w:t>
                  </w:r>
                  <w:proofErr w:type="spellStart"/>
                  <w:r>
                    <w:rPr>
                      <w:i/>
                    </w:rPr>
                    <w:t>to</w:t>
                  </w:r>
                  <w:proofErr w:type="spellEnd"/>
                  <w:r>
                    <w:rPr>
                      <w:i/>
                    </w:rPr>
                    <w:t xml:space="preserve"> be a </w:t>
                  </w:r>
                  <w:proofErr w:type="spellStart"/>
                  <w:r>
                    <w:rPr>
                      <w:i/>
                    </w:rPr>
                    <w:t>success</w:t>
                  </w:r>
                  <w:proofErr w:type="spellEnd"/>
                  <w:r>
                    <w:rPr>
                      <w:i/>
                    </w:rPr>
                    <w:t xml:space="preserve">, </w:t>
                  </w:r>
                  <w:proofErr w:type="gramStart"/>
                  <w:r>
                    <w:rPr>
                      <w:i/>
                    </w:rPr>
                    <w:t xml:space="preserve">but  </w:t>
                  </w:r>
                  <w:proofErr w:type="spellStart"/>
                  <w:r>
                    <w:rPr>
                      <w:i/>
                    </w:rPr>
                    <w:t>rather</w:t>
                  </w:r>
                  <w:proofErr w:type="spellEnd"/>
                  <w:proofErr w:type="gram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to</w:t>
                  </w:r>
                  <w:proofErr w:type="spellEnd"/>
                  <w:r>
                    <w:rPr>
                      <w:i/>
                    </w:rPr>
                    <w:t xml:space="preserve"> be of </w:t>
                  </w:r>
                  <w:proofErr w:type="spellStart"/>
                  <w:r>
                    <w:rPr>
                      <w:i/>
                    </w:rPr>
                    <w:t>value</w:t>
                  </w:r>
                  <w:proofErr w:type="spellEnd"/>
                  <w:r>
                    <w:rPr>
                      <w:i/>
                    </w:rPr>
                    <w:t>”.</w:t>
                  </w:r>
                  <w:r>
                    <w:t xml:space="preserve"> - Albert Einstein</w:t>
                  </w:r>
                </w:p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Have a good term…</w:t>
                  </w:r>
                </w:p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ECTS TABLE</w:t>
                  </w:r>
                </w:p>
              </w:tc>
            </w:tr>
            <w:tr w:rsidR="007D5437" w:rsidTr="004253C6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Content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No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Hour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Total</w:t>
                  </w:r>
                </w:p>
              </w:tc>
            </w:tr>
            <w:tr w:rsidR="007D5437" w:rsidTr="004253C6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437" w:rsidRDefault="007D5437" w:rsidP="007D5437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Lectures in Class 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42</w:t>
                  </w:r>
                </w:p>
              </w:tc>
            </w:tr>
            <w:tr w:rsidR="007D5437" w:rsidTr="004253C6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46502E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Self study</w:t>
                  </w:r>
                  <w:proofErr w:type="spellEnd"/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:rsidR="007D5437" w:rsidRDefault="007D5437" w:rsidP="007D5437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64</w:t>
                  </w:r>
                </w:p>
              </w:tc>
            </w:tr>
            <w:tr w:rsidR="007D5437" w:rsidTr="004253C6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Mid-term Exam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50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50</w:t>
                  </w:r>
                </w:p>
              </w:tc>
            </w:tr>
            <w:tr w:rsidR="007D5437" w:rsidTr="004253C6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Final Exam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50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50</w:t>
                  </w:r>
                </w:p>
              </w:tc>
            </w:tr>
            <w:tr w:rsidR="007D5437" w:rsidTr="004253C6">
              <w:trPr>
                <w:trHeight w:val="221"/>
              </w:trPr>
              <w:tc>
                <w:tcPr>
                  <w:tcW w:w="8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437" w:rsidRDefault="007D5437" w:rsidP="007D5437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Total</w:t>
                  </w:r>
                </w:p>
                <w:p w:rsidR="007D5437" w:rsidRDefault="007D5437" w:rsidP="007D5437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Total /30</w:t>
                  </w:r>
                </w:p>
                <w:p w:rsidR="007D5437" w:rsidRDefault="007D5437" w:rsidP="007D5437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ECTS Credit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206</w:t>
                  </w:r>
                </w:p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6,8</w:t>
                  </w:r>
                </w:p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7</w:t>
                  </w:r>
                </w:p>
              </w:tc>
            </w:tr>
            <w:tr w:rsidR="007D5437" w:rsidTr="004253C6">
              <w:trPr>
                <w:trHeight w:val="316"/>
              </w:trPr>
              <w:tc>
                <w:tcPr>
                  <w:tcW w:w="8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437" w:rsidRDefault="007D5437" w:rsidP="007D5437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437" w:rsidRDefault="007D5437" w:rsidP="007D543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7D5437" w:rsidRDefault="007D5437" w:rsidP="007D5437">
            <w:pPr>
              <w:tabs>
                <w:tab w:val="center" w:pos="5592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B13BD9" w:rsidRDefault="00B13BD9"/>
    <w:sectPr w:rsidR="00B1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93D"/>
    <w:multiLevelType w:val="hybridMultilevel"/>
    <w:tmpl w:val="CF5A6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E7"/>
    <w:rsid w:val="00037307"/>
    <w:rsid w:val="00066F86"/>
    <w:rsid w:val="00086E60"/>
    <w:rsid w:val="000B22EF"/>
    <w:rsid w:val="000D0B37"/>
    <w:rsid w:val="00180F14"/>
    <w:rsid w:val="001D7402"/>
    <w:rsid w:val="001F4140"/>
    <w:rsid w:val="00221F25"/>
    <w:rsid w:val="0030043B"/>
    <w:rsid w:val="00380678"/>
    <w:rsid w:val="0046502E"/>
    <w:rsid w:val="004E58AB"/>
    <w:rsid w:val="00512553"/>
    <w:rsid w:val="00523D86"/>
    <w:rsid w:val="00573A3B"/>
    <w:rsid w:val="005953F0"/>
    <w:rsid w:val="0059617C"/>
    <w:rsid w:val="005D1953"/>
    <w:rsid w:val="005D483C"/>
    <w:rsid w:val="005E6AC2"/>
    <w:rsid w:val="005E7F17"/>
    <w:rsid w:val="006275AE"/>
    <w:rsid w:val="00666BF3"/>
    <w:rsid w:val="00675B79"/>
    <w:rsid w:val="006B421C"/>
    <w:rsid w:val="006C60A3"/>
    <w:rsid w:val="00755788"/>
    <w:rsid w:val="007D09E7"/>
    <w:rsid w:val="007D5437"/>
    <w:rsid w:val="00807721"/>
    <w:rsid w:val="0087273D"/>
    <w:rsid w:val="008958B1"/>
    <w:rsid w:val="009466E5"/>
    <w:rsid w:val="00970650"/>
    <w:rsid w:val="009E0500"/>
    <w:rsid w:val="009E571F"/>
    <w:rsid w:val="00A332AB"/>
    <w:rsid w:val="00A77ADC"/>
    <w:rsid w:val="00A948FE"/>
    <w:rsid w:val="00AF568C"/>
    <w:rsid w:val="00B13BD9"/>
    <w:rsid w:val="00B16775"/>
    <w:rsid w:val="00B24ED7"/>
    <w:rsid w:val="00B442BC"/>
    <w:rsid w:val="00C76181"/>
    <w:rsid w:val="00C917DB"/>
    <w:rsid w:val="00CA4829"/>
    <w:rsid w:val="00CC4222"/>
    <w:rsid w:val="00CF135C"/>
    <w:rsid w:val="00CF6719"/>
    <w:rsid w:val="00D03FB8"/>
    <w:rsid w:val="00D12E3E"/>
    <w:rsid w:val="00DB4949"/>
    <w:rsid w:val="00DC583F"/>
    <w:rsid w:val="00DE0B32"/>
    <w:rsid w:val="00D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8723"/>
  <w15:docId w15:val="{F80D68E7-1510-4227-84B9-CD89317E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77ADC"/>
    <w:rPr>
      <w:color w:val="0563C1"/>
      <w:u w:val="single"/>
    </w:rPr>
  </w:style>
  <w:style w:type="character" w:customStyle="1" w:styleId="girinti">
    <w:name w:val="girinti"/>
    <w:rsid w:val="00A77ADC"/>
  </w:style>
  <w:style w:type="paragraph" w:styleId="ListeParagraf">
    <w:name w:val="List Paragraph"/>
    <w:basedOn w:val="Normal"/>
    <w:uiPriority w:val="34"/>
    <w:qFormat/>
    <w:rsid w:val="00300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irfisunoglu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Fusunoglu</dc:creator>
  <cp:lastModifiedBy>Mahir Fisunoğlu</cp:lastModifiedBy>
  <cp:revision>26</cp:revision>
  <dcterms:created xsi:type="dcterms:W3CDTF">2023-11-24T19:36:00Z</dcterms:created>
  <dcterms:modified xsi:type="dcterms:W3CDTF">2023-11-27T18:18:00Z</dcterms:modified>
</cp:coreProperties>
</file>