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9803EA" w:rsidRPr="001B4DBF" w:rsidTr="000B2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9803EA" w:rsidRPr="001B4DBF" w:rsidRDefault="009803EA" w:rsidP="000B262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:rsidR="009803EA" w:rsidRPr="009B23A6" w:rsidRDefault="009803EA" w:rsidP="00650C67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9B23A6">
              <w:rPr>
                <w:rFonts w:ascii="Arial" w:hAnsi="Arial" w:cs="Arial"/>
                <w:bCs w:val="0"/>
                <w:color w:val="auto"/>
                <w:sz w:val="20"/>
                <w:szCs w:val="20"/>
                <w:lang w:val="en-US"/>
              </w:rPr>
              <w:t>Faculty of</w:t>
            </w:r>
            <w:r w:rsidR="00650C67">
              <w:rPr>
                <w:rFonts w:ascii="Arial" w:hAnsi="Arial" w:cs="Arial"/>
                <w:bCs w:val="0"/>
                <w:color w:val="auto"/>
                <w:sz w:val="20"/>
                <w:szCs w:val="20"/>
                <w:lang w:val="en-US"/>
              </w:rPr>
              <w:t xml:space="preserve"> Law</w:t>
            </w:r>
            <w:r w:rsidRPr="009B23A6">
              <w:rPr>
                <w:rFonts w:ascii="Arial" w:hAnsi="Arial" w:cs="Arial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9B23A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9803E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ECO1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:rsidR="009803EA" w:rsidRPr="009B23A6" w:rsidRDefault="0048198F" w:rsidP="00980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ECONOMICS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9803EA" w:rsidRPr="009B23A6" w:rsidRDefault="009E1427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Prerequisites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Delivery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In-person</w:t>
            </w:r>
            <w:proofErr w:type="spellEnd"/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9803EA" w:rsidRPr="009B23A6" w:rsidRDefault="00B55F84" w:rsidP="009803E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Optional</w:t>
            </w:r>
            <w:r w:rsidR="009803EA"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/First Year/Fall </w:t>
            </w:r>
            <w:r w:rsidR="009803EA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Semester</w:t>
            </w:r>
          </w:p>
        </w:tc>
      </w:tr>
      <w:tr w:rsidR="009803EA" w:rsidRPr="001B4DBF" w:rsidTr="000B262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Lecturer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Prof. Dr.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Ünver-Erbaş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IIBS Office: B55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</w:tcPr>
          <w:p w:rsidR="009803EA" w:rsidRPr="009B23A6" w:rsidRDefault="009803EA" w:rsidP="009803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Friday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10.00-11.30</w:t>
            </w:r>
          </w:p>
        </w:tc>
        <w:tc>
          <w:tcPr>
            <w:tcW w:w="2112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</w:tcPr>
          <w:p w:rsidR="009803EA" w:rsidRPr="009B23A6" w:rsidRDefault="009803EA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Wednesday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 10</w:t>
            </w:r>
            <w:proofErr w:type="gramEnd"/>
            <w:r w:rsidRPr="009B23A6">
              <w:rPr>
                <w:rFonts w:ascii="Arial" w:hAnsi="Arial" w:cs="Arial"/>
                <w:sz w:val="20"/>
                <w:szCs w:val="20"/>
              </w:rPr>
              <w:t>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9803EA" w:rsidRPr="009B23A6" w:rsidRDefault="00B75B37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8" w:history="1">
              <w:r w:rsidR="009803EA" w:rsidRPr="009B23A6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cansu.u.e@cag.edu.tr</w:t>
              </w:r>
            </w:hyperlink>
          </w:p>
        </w:tc>
      </w:tr>
      <w:tr w:rsidR="009803EA" w:rsidRPr="001B4DBF" w:rsidTr="000B2620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Course Coordinator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Prof. Dr.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Ünver-Erbaş</w:t>
            </w:r>
            <w:proofErr w:type="spellEnd"/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Course </w:t>
            </w:r>
            <w:proofErr w:type="gramStart"/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Objective</w:t>
            </w: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constitutes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one-semester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program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designed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introduce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discipline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broadly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divided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two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primary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branches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Throughout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semester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instruction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focus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until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after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which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emphasized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interactions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between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individuals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aiming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elucidate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decision-making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level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Key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include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productivity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circular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mechanisms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role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system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from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perspectives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individuals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society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individual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costs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short-term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long-term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various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such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perfect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competition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monopoly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oligopoly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monopsony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Additionally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markets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factors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significant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importance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progression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leads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considerations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general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welfare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inquiry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causes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failure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Conversely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encompasses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determinants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unemployment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expenditures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—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including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consumption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investment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role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government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also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addresses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banking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systems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central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banking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alternative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theories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such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Classical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Keynesian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Monetarist,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Rational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Expectations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frameworks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Furthermore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explore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relationship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between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unemployment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notably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Phillips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curve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recessionary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wage-price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indexing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policies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deficits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public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debt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imbalances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However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limited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concise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portion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scope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9803EA" w:rsidRPr="009B23A6" w:rsidRDefault="009803EA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803EA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3A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Students who have completed the course successfully should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Relationship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9803EA" w:rsidRPr="009B23A6" w:rsidRDefault="009803EA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>Prog</w:t>
            </w:r>
            <w:proofErr w:type="spellEnd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Output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Net Effect</w:t>
            </w:r>
          </w:p>
        </w:tc>
      </w:tr>
      <w:tr w:rsidR="009803EA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9803EA" w:rsidRPr="009B23A6" w:rsidRDefault="009803EA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individuals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anticipated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capacity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reasoning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decision-making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possess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enables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define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establish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interrelationships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among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implement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Furthermore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integration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lives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considered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9803EA" w:rsidRPr="009B23A6" w:rsidRDefault="009803EA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9803EA" w:rsidRPr="009B23A6" w:rsidRDefault="009803EA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mechanism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ensuring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allocation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4,5,7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9803EA" w:rsidRPr="009B23A6" w:rsidRDefault="009803EA" w:rsidP="009803EA">
            <w:pPr>
              <w:tabs>
                <w:tab w:val="left" w:pos="594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4,4,5</w:t>
            </w:r>
          </w:p>
        </w:tc>
      </w:tr>
      <w:tr w:rsidR="009803EA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9803EA" w:rsidRPr="009B23A6" w:rsidRDefault="009803EA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9803EA" w:rsidRPr="009B23A6" w:rsidRDefault="009803EA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disequilibrium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illustrate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-life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4,5,7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4,4,5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9803EA" w:rsidRPr="009B23A6" w:rsidRDefault="009803EA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9803EA" w:rsidRPr="009B23A6" w:rsidRDefault="009803EA" w:rsidP="000B262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underlying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goods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markets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categorize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assess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respective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4,5,7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ind w:left="540" w:hanging="503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4,4,5</w:t>
            </w:r>
          </w:p>
        </w:tc>
      </w:tr>
      <w:tr w:rsidR="009803EA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9803EA" w:rsidRPr="009B23A6" w:rsidRDefault="009803EA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9803EA" w:rsidRPr="009B23A6" w:rsidRDefault="009803EA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conceptualize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levels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basis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unemployment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cycle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instability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utilize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subjects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4,5,7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4,4,5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9803EA" w:rsidRPr="009B23A6" w:rsidRDefault="009803EA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9803EA" w:rsidRPr="009B23A6" w:rsidRDefault="009803EA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policies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methodologies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promote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sustain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stable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ind w:left="180" w:hanging="18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</w:t>
            </w:r>
          </w:p>
        </w:tc>
      </w:tr>
      <w:tr w:rsidR="009803EA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9803EA" w:rsidRPr="009B23A6" w:rsidRDefault="009803EA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9803EA" w:rsidRPr="009B23A6" w:rsidRDefault="009803EA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Finally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nuanced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interrelationship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scholarly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datasets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derive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informed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evidence-based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conclusions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designed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equip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address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issues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encountered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everyday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life,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including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determination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elasticity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configurations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Additionally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inequality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measurement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GDP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expansion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monitoring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employment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Contents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: (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Microeconomics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9803EA" w:rsidRPr="009B23A6" w:rsidRDefault="009803EA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Textbook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Defination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factors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scarcity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opportunity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utilization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9803EA" w:rsidRPr="009B23A6" w:rsidRDefault="009803EA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9803EA" w:rsidRPr="009B23A6" w:rsidRDefault="009803EA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importance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9803EA" w:rsidRPr="009B23A6" w:rsidRDefault="009803EA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online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platform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9803EA" w:rsidRPr="009B23A6" w:rsidRDefault="009803EA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YouTube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short-movie</w:t>
            </w:r>
            <w:proofErr w:type="spellEnd"/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competition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monopoly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9803EA" w:rsidRPr="009B23A6" w:rsidRDefault="009803EA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news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purpose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comparing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accounting</w:t>
            </w:r>
            <w:proofErr w:type="spellEnd"/>
            <w:r w:rsidRPr="009B2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determination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9803EA" w:rsidRPr="009B23A6" w:rsidRDefault="009803EA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Performing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calculations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using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actual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data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downloaded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from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TÜİK 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9803EA" w:rsidRPr="009B23A6" w:rsidRDefault="009803EA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online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platform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9803EA" w:rsidRPr="009B23A6" w:rsidRDefault="009803EA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Debate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groups</w:t>
            </w:r>
            <w:proofErr w:type="spellEnd"/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Money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banking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9803EA" w:rsidRPr="009B23A6" w:rsidRDefault="009803EA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news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Review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Q&amp;A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REFERENCES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text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wellcome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You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responsible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follow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“Course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Outline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”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below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</w:tc>
      </w:tr>
      <w:tr w:rsidR="009803EA" w:rsidRPr="0057663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9803EA" w:rsidRPr="0057663F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Recommended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textbooks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9803EA" w:rsidRPr="0057663F" w:rsidRDefault="009803EA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Campbell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R.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McConnel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Stanley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L.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Brue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: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Pinciples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Problems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and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Policies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Mcgraw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Hill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Inc</w:t>
            </w:r>
            <w:proofErr w:type="spellEnd"/>
            <w:proofErr w:type="gram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.,</w:t>
            </w:r>
            <w:proofErr w:type="gram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en son basım.</w:t>
            </w:r>
          </w:p>
          <w:p w:rsidR="009803EA" w:rsidRPr="0057663F" w:rsidRDefault="009803EA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N.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Gregory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Mankiw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Principles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of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Dreyden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Press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  <w:p w:rsidR="009803EA" w:rsidRPr="0057663F" w:rsidRDefault="009803EA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Paul A.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Samuelson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 W.D.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Nordhaus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Mc-Graw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Hill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  <w:p w:rsidR="009803EA" w:rsidRPr="0057663F" w:rsidRDefault="009803EA" w:rsidP="000B2620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Michael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Parkin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Microeconomics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and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Macroeconomics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Addson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Wesley</w:t>
            </w:r>
            <w:proofErr w:type="spellEnd"/>
            <w:r w:rsidRPr="0057663F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Assesment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803EA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9803EA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9803EA" w:rsidRPr="009B23A6" w:rsidRDefault="009803EA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E1427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9E1427" w:rsidRPr="009B23A6" w:rsidRDefault="009E1427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9E1427" w:rsidRPr="0057663F" w:rsidRDefault="0057663F" w:rsidP="00A5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63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9E1427" w:rsidRPr="0057663F" w:rsidRDefault="009E1427" w:rsidP="00A57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766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9E1427" w:rsidRPr="009B23A6" w:rsidRDefault="009E1427" w:rsidP="00A576C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9E1427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9E1427" w:rsidRPr="009B23A6" w:rsidRDefault="009E1427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9E1427" w:rsidRPr="0057663F" w:rsidRDefault="0057663F" w:rsidP="00A5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63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9E1427" w:rsidRPr="0057663F" w:rsidRDefault="009E1427" w:rsidP="00A57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766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9E1427" w:rsidRPr="009B23A6" w:rsidRDefault="009E1427" w:rsidP="00A576C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9E1427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9E1427" w:rsidRPr="009B23A6" w:rsidRDefault="009E1427" w:rsidP="000B2620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Online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9E1427" w:rsidRPr="0057663F" w:rsidRDefault="009E1427" w:rsidP="00A5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6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9E1427" w:rsidRPr="0057663F" w:rsidRDefault="009E1427" w:rsidP="00A57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766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9E1427" w:rsidRPr="009B23A6" w:rsidRDefault="009E1427" w:rsidP="00A576C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9E1427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9E1427" w:rsidRPr="001B4DBF" w:rsidRDefault="009E1427" w:rsidP="000B26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9E1427" w:rsidRPr="0057663F" w:rsidRDefault="0057663F" w:rsidP="00A5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6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9E1427" w:rsidRPr="0057663F" w:rsidRDefault="009E1427" w:rsidP="00A57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7663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9E1427" w:rsidRPr="009B23A6" w:rsidRDefault="009E1427" w:rsidP="00A576C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9E1427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9E1427" w:rsidRPr="001B4DBF" w:rsidRDefault="009E1427" w:rsidP="000B26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9E1427" w:rsidRPr="0057663F" w:rsidRDefault="0057663F" w:rsidP="00A57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6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9E1427" w:rsidRPr="0057663F" w:rsidRDefault="009E1427" w:rsidP="00A57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7663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9E1427" w:rsidRPr="009B23A6" w:rsidRDefault="009E1427" w:rsidP="00A576C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</w:tr>
      <w:tr w:rsidR="009E1427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9E1427" w:rsidRPr="009B23A6" w:rsidRDefault="009E1427" w:rsidP="009803EA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To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tal</w:t>
            </w:r>
            <w:proofErr w:type="gramStart"/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9E1427" w:rsidRPr="009B23A6" w:rsidRDefault="009E1427" w:rsidP="00A576C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98</w:t>
            </w:r>
          </w:p>
        </w:tc>
      </w:tr>
      <w:tr w:rsidR="009E1427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9E1427" w:rsidRPr="009B23A6" w:rsidRDefault="009E1427" w:rsidP="009803EA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T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otal</w:t>
            </w:r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9E1427" w:rsidRPr="009B23A6" w:rsidRDefault="009E1427" w:rsidP="00A576C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98</w:t>
            </w: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3,27</w:t>
            </w:r>
          </w:p>
        </w:tc>
      </w:tr>
      <w:tr w:rsidR="009E1427" w:rsidRPr="001B4DBF" w:rsidTr="000B26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9E1427" w:rsidRPr="009B23A6" w:rsidRDefault="009E1427" w:rsidP="009803EA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9E1427" w:rsidRPr="009B23A6" w:rsidRDefault="009E1427" w:rsidP="00A576C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:rsidR="009803EA" w:rsidRPr="001B4DBF" w:rsidRDefault="009803EA" w:rsidP="009803EA">
      <w:pPr>
        <w:rPr>
          <w:rFonts w:ascii="Arial" w:hAnsi="Arial" w:cs="Arial"/>
          <w:sz w:val="22"/>
          <w:szCs w:val="22"/>
        </w:rPr>
      </w:pPr>
    </w:p>
    <w:p w:rsidR="009803EA" w:rsidRPr="001B4DBF" w:rsidRDefault="009803EA" w:rsidP="009803EA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9803EA" w:rsidRPr="001B4DBF" w:rsidTr="000B2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9803EA" w:rsidRPr="001B4DBF" w:rsidRDefault="009803EA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9803EA" w:rsidRPr="001B4DBF" w:rsidTr="000B26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9803EA" w:rsidRPr="001B4DBF" w:rsidRDefault="009803EA" w:rsidP="000B2620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C2DB2F6" wp14:editId="70374A6D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9803EA" w:rsidRPr="001B4DBF" w:rsidRDefault="009803EA" w:rsidP="000B262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9803EA" w:rsidRPr="001B4DBF" w:rsidRDefault="009803EA" w:rsidP="009803EA">
      <w:pPr>
        <w:rPr>
          <w:rFonts w:ascii="Arial" w:hAnsi="Arial" w:cs="Arial"/>
          <w:sz w:val="22"/>
          <w:szCs w:val="22"/>
        </w:rPr>
      </w:pPr>
    </w:p>
    <w:p w:rsidR="009803EA" w:rsidRDefault="009803EA" w:rsidP="009803EA"/>
    <w:p w:rsidR="009803EA" w:rsidRDefault="009803EA" w:rsidP="009803EA"/>
    <w:p w:rsidR="009803EA" w:rsidRDefault="009803EA" w:rsidP="009803EA"/>
    <w:p w:rsidR="00E66CB5" w:rsidRDefault="00E66CB5"/>
    <w:sectPr w:rsidR="00E66CB5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37" w:rsidRDefault="00B75B37">
      <w:r>
        <w:separator/>
      </w:r>
    </w:p>
  </w:endnote>
  <w:endnote w:type="continuationSeparator" w:id="0">
    <w:p w:rsidR="00B75B37" w:rsidRDefault="00B7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37" w:rsidRDefault="00B75B37">
      <w:r>
        <w:separator/>
      </w:r>
    </w:p>
  </w:footnote>
  <w:footnote w:type="continuationSeparator" w:id="0">
    <w:p w:rsidR="00B75B37" w:rsidRDefault="00B7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4C" w:rsidRDefault="00B55F84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9B749DB" wp14:editId="5799113A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52680"/>
    <w:multiLevelType w:val="hybridMultilevel"/>
    <w:tmpl w:val="12E2B2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A"/>
    <w:rsid w:val="002339B2"/>
    <w:rsid w:val="002F27D9"/>
    <w:rsid w:val="0048198F"/>
    <w:rsid w:val="0057663F"/>
    <w:rsid w:val="00650C67"/>
    <w:rsid w:val="00817779"/>
    <w:rsid w:val="009803EA"/>
    <w:rsid w:val="009E1427"/>
    <w:rsid w:val="00B4552A"/>
    <w:rsid w:val="00B55F84"/>
    <w:rsid w:val="00B75B37"/>
    <w:rsid w:val="00C40DF8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980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9803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803E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9803EA"/>
    <w:rPr>
      <w:strike w:val="0"/>
      <w:dstrike w:val="0"/>
      <w:color w:val="1573A6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9803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03EA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3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3EA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980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9803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803E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9803EA"/>
    <w:rPr>
      <w:strike w:val="0"/>
      <w:dstrike w:val="0"/>
      <w:color w:val="1573A6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9803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03EA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3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3E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su.u.e@cag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ECO159 Economics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trendlineType val="movingAvg"/>
            <c:period val="2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6</c:v>
                </c:pt>
                <c:pt idx="4">
                  <c:v>37</c:v>
                </c:pt>
                <c:pt idx="5">
                  <c:v>21</c:v>
                </c:pt>
                <c:pt idx="6">
                  <c:v>13</c:v>
                </c:pt>
                <c:pt idx="7">
                  <c:v>10</c:v>
                </c:pt>
                <c:pt idx="8">
                  <c:v>4</c:v>
                </c:pt>
                <c:pt idx="9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118656"/>
        <c:axId val="141729088"/>
      </c:barChart>
      <c:catAx>
        <c:axId val="162118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729088"/>
        <c:crosses val="autoZero"/>
        <c:auto val="1"/>
        <c:lblAlgn val="ctr"/>
        <c:lblOffset val="100"/>
        <c:noMultiLvlLbl val="0"/>
      </c:catAx>
      <c:valAx>
        <c:axId val="1417290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118656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7</cp:revision>
  <dcterms:created xsi:type="dcterms:W3CDTF">2025-10-06T11:11:00Z</dcterms:created>
  <dcterms:modified xsi:type="dcterms:W3CDTF">2025-10-21T06:19:00Z</dcterms:modified>
</cp:coreProperties>
</file>